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E8E53" w14:textId="643EC243" w:rsidR="00B543FB" w:rsidRPr="002032D4" w:rsidRDefault="00B543FB" w:rsidP="00B543FB">
      <w:pPr>
        <w:pStyle w:val="Titre1"/>
        <w:spacing w:before="30" w:line="293" w:lineRule="exact"/>
        <w:ind w:left="762" w:right="696"/>
        <w:rPr>
          <w:rFonts w:ascii="League Spartan" w:hAnsi="League Spartan"/>
          <w:color w:val="172A3A"/>
          <w:sz w:val="22"/>
          <w:szCs w:val="22"/>
        </w:rPr>
      </w:pPr>
      <w:r>
        <w:rPr>
          <w:rFonts w:ascii="League Spartan" w:hAnsi="League Spartan"/>
          <w:color w:val="172A3A"/>
          <w:sz w:val="22"/>
          <w:szCs w:val="22"/>
        </w:rPr>
        <w:t xml:space="preserve">Aide au formalisme du rapport d’adéquation du Fonds </w:t>
      </w:r>
      <w:r w:rsidR="009B20E2">
        <w:rPr>
          <w:rFonts w:ascii="League Spartan" w:hAnsi="League Spartan"/>
          <w:color w:val="172A3A"/>
          <w:sz w:val="22"/>
          <w:szCs w:val="22"/>
        </w:rPr>
        <w:t>FPS PPG EDESIA</w:t>
      </w:r>
      <w:r>
        <w:rPr>
          <w:rFonts w:ascii="League Spartan" w:hAnsi="League Spartan"/>
          <w:color w:val="172A3A"/>
          <w:sz w:val="22"/>
          <w:szCs w:val="22"/>
        </w:rPr>
        <w:t xml:space="preserve"> </w:t>
      </w:r>
    </w:p>
    <w:p w14:paraId="0A03743C" w14:textId="4E58E783" w:rsidR="00AB26AD" w:rsidRPr="008D0906" w:rsidRDefault="00B543FB" w:rsidP="00EF1FAE">
      <w:pPr>
        <w:jc w:val="center"/>
        <w:rPr>
          <w:bCs/>
          <w:sz w:val="18"/>
          <w:szCs w:val="18"/>
          <w:lang w:val="en-GB"/>
        </w:rPr>
      </w:pPr>
      <w:r w:rsidRPr="00AB26AD">
        <w:rPr>
          <w:rFonts w:ascii="League Spartan" w:hAnsi="League Spartan"/>
          <w:color w:val="172A3A"/>
          <w:sz w:val="22"/>
          <w:szCs w:val="22"/>
          <w:lang w:val="en-GB"/>
        </w:rPr>
        <w:t xml:space="preserve">Part </w:t>
      </w:r>
      <w:r w:rsidR="001014D7" w:rsidRPr="00AB26AD">
        <w:rPr>
          <w:rFonts w:ascii="League Spartan" w:hAnsi="League Spartan"/>
          <w:color w:val="172A3A"/>
          <w:sz w:val="22"/>
          <w:szCs w:val="22"/>
          <w:lang w:val="en-GB"/>
        </w:rPr>
        <w:t>R</w:t>
      </w:r>
      <w:r w:rsidRPr="00AB26AD">
        <w:rPr>
          <w:rFonts w:ascii="League Spartan" w:hAnsi="League Spartan"/>
          <w:color w:val="172A3A"/>
          <w:sz w:val="22"/>
          <w:szCs w:val="22"/>
          <w:lang w:val="en-GB"/>
        </w:rPr>
        <w:t xml:space="preserve"> : </w:t>
      </w:r>
      <w:r w:rsidR="00EF7849" w:rsidRPr="00AB26AD">
        <w:rPr>
          <w:bCs/>
          <w:sz w:val="18"/>
          <w:szCs w:val="18"/>
          <w:lang w:val="en-GB"/>
        </w:rPr>
        <w:t>FR0014016HH0</w:t>
      </w:r>
      <w:r w:rsidRPr="00AB26AD">
        <w:rPr>
          <w:rFonts w:ascii="League Spartan" w:hAnsi="League Spartan"/>
          <w:color w:val="172A3A"/>
          <w:sz w:val="22"/>
          <w:szCs w:val="22"/>
          <w:lang w:val="en-GB"/>
        </w:rPr>
        <w:t xml:space="preserve"> – Part </w:t>
      </w:r>
      <w:r w:rsidR="001014D7" w:rsidRPr="00AB26AD">
        <w:rPr>
          <w:rFonts w:ascii="League Spartan" w:hAnsi="League Spartan"/>
          <w:color w:val="172A3A"/>
          <w:sz w:val="22"/>
          <w:szCs w:val="22"/>
          <w:lang w:val="en-GB"/>
        </w:rPr>
        <w:t>P</w:t>
      </w:r>
      <w:r w:rsidRPr="00AB26AD">
        <w:rPr>
          <w:rFonts w:ascii="League Spartan" w:hAnsi="League Spartan"/>
          <w:color w:val="172A3A"/>
          <w:sz w:val="22"/>
          <w:szCs w:val="22"/>
          <w:lang w:val="en-GB"/>
        </w:rPr>
        <w:t xml:space="preserve"> : </w:t>
      </w:r>
      <w:r w:rsidR="00AB26AD" w:rsidRPr="008D0906">
        <w:rPr>
          <w:bCs/>
          <w:sz w:val="18"/>
          <w:szCs w:val="18"/>
          <w:lang w:val="en-GB"/>
        </w:rPr>
        <w:t>FR0014016HG2</w:t>
      </w:r>
    </w:p>
    <w:p w14:paraId="3E44CF88" w14:textId="2FDA33C2" w:rsidR="00EF1FAE" w:rsidRPr="00EF1FAE" w:rsidRDefault="001014D7" w:rsidP="00EF1FAE">
      <w:pPr>
        <w:jc w:val="center"/>
        <w:rPr>
          <w:bCs/>
          <w:sz w:val="18"/>
          <w:szCs w:val="18"/>
          <w:lang w:val="en-GB"/>
        </w:rPr>
      </w:pPr>
      <w:r w:rsidRPr="001014D7">
        <w:rPr>
          <w:rFonts w:ascii="League Spartan" w:hAnsi="League Spartan"/>
          <w:color w:val="172A3A"/>
          <w:sz w:val="22"/>
          <w:szCs w:val="22"/>
          <w:lang w:val="en-GB"/>
        </w:rPr>
        <w:t xml:space="preserve">Part I : </w:t>
      </w:r>
      <w:r w:rsidR="008D0906" w:rsidRPr="008D0906">
        <w:rPr>
          <w:bCs/>
          <w:sz w:val="18"/>
          <w:szCs w:val="18"/>
          <w:lang w:val="en-GB"/>
        </w:rPr>
        <w:t>FR0014016HF4</w:t>
      </w:r>
      <w:r w:rsidR="00EF1FAE" w:rsidRPr="00AB26AD">
        <w:rPr>
          <w:rFonts w:ascii="League Spartan" w:hAnsi="League Spartan"/>
          <w:color w:val="172A3A"/>
          <w:sz w:val="22"/>
          <w:szCs w:val="22"/>
          <w:lang w:val="en-GB"/>
        </w:rPr>
        <w:t xml:space="preserve"> – </w:t>
      </w:r>
      <w:r w:rsidRPr="001014D7">
        <w:rPr>
          <w:rFonts w:ascii="League Spartan" w:hAnsi="League Spartan"/>
          <w:color w:val="172A3A"/>
          <w:sz w:val="22"/>
          <w:szCs w:val="22"/>
          <w:lang w:val="en-GB"/>
        </w:rPr>
        <w:t xml:space="preserve"> Part </w:t>
      </w:r>
      <w:r>
        <w:rPr>
          <w:rFonts w:ascii="League Spartan" w:hAnsi="League Spartan"/>
          <w:color w:val="172A3A"/>
          <w:sz w:val="22"/>
          <w:szCs w:val="22"/>
          <w:lang w:val="en-GB"/>
        </w:rPr>
        <w:t>A</w:t>
      </w:r>
      <w:r w:rsidRPr="001014D7">
        <w:rPr>
          <w:rFonts w:ascii="League Spartan" w:hAnsi="League Spartan"/>
          <w:color w:val="172A3A"/>
          <w:sz w:val="22"/>
          <w:szCs w:val="22"/>
          <w:lang w:val="en-GB"/>
        </w:rPr>
        <w:t xml:space="preserve"> : </w:t>
      </w:r>
      <w:r w:rsidR="00EF1FAE" w:rsidRPr="00EF1FAE">
        <w:rPr>
          <w:bCs/>
          <w:sz w:val="18"/>
          <w:szCs w:val="18"/>
          <w:lang w:val="en-GB"/>
        </w:rPr>
        <w:t>FR0014016HD9</w:t>
      </w:r>
    </w:p>
    <w:p w14:paraId="2490876C" w14:textId="70DA6746" w:rsidR="001014D7" w:rsidRPr="001014D7" w:rsidRDefault="001014D7" w:rsidP="001014D7">
      <w:pPr>
        <w:pStyle w:val="Titre1"/>
        <w:spacing w:before="30" w:line="293" w:lineRule="exact"/>
        <w:ind w:left="762" w:right="696"/>
        <w:rPr>
          <w:rFonts w:ascii="League Spartan" w:hAnsi="League Spartan"/>
          <w:color w:val="172A3A"/>
          <w:sz w:val="22"/>
          <w:szCs w:val="22"/>
          <w:lang w:val="en-GB"/>
        </w:rPr>
      </w:pPr>
    </w:p>
    <w:p w14:paraId="5406D119" w14:textId="77777777" w:rsidR="001014D7" w:rsidRPr="001014D7" w:rsidRDefault="001014D7" w:rsidP="001014D7">
      <w:pPr>
        <w:rPr>
          <w:lang w:val="en-GB"/>
        </w:rPr>
      </w:pPr>
    </w:p>
    <w:p w14:paraId="245A6429" w14:textId="77777777" w:rsidR="00A0074F" w:rsidRDefault="00E8678D" w:rsidP="00E8678D">
      <w:pPr>
        <w:numPr>
          <w:ilvl w:val="0"/>
          <w:numId w:val="41"/>
        </w:numPr>
        <w:spacing w:after="160" w:line="259" w:lineRule="auto"/>
        <w:ind w:left="426" w:hanging="284"/>
        <w:contextualSpacing/>
        <w:jc w:val="both"/>
        <w:rPr>
          <w:rFonts w:asciiTheme="minorHAnsi" w:eastAsiaTheme="minorHAnsi" w:hAnsiTheme="minorHAnsi" w:cstheme="minorHAnsi"/>
          <w:sz w:val="22"/>
          <w:szCs w:val="22"/>
        </w:rPr>
      </w:pPr>
      <w:bookmarkStart w:id="0" w:name="_Hlk86241436"/>
      <w:r w:rsidRPr="00E8678D">
        <w:rPr>
          <w:rFonts w:asciiTheme="minorHAnsi" w:eastAsiaTheme="minorHAnsi" w:hAnsiTheme="minorHAnsi" w:cstheme="minorHAnsi"/>
          <w:sz w:val="22"/>
          <w:szCs w:val="22"/>
        </w:rPr>
        <w:t>PPG EDESIA est un Fonds Professionnel Spécialisé (FPS) sous forme de Fonds Commun de Placement (FCP) de droit français géré par Pierre 1</w:t>
      </w:r>
      <w:r w:rsidRPr="00E8678D">
        <w:rPr>
          <w:rFonts w:asciiTheme="minorHAnsi" w:eastAsiaTheme="minorHAnsi" w:hAnsiTheme="minorHAnsi" w:cstheme="minorHAnsi"/>
          <w:sz w:val="22"/>
          <w:szCs w:val="22"/>
          <w:vertAlign w:val="superscript"/>
        </w:rPr>
        <w:t>er</w:t>
      </w:r>
      <w:r w:rsidRPr="00E8678D">
        <w:rPr>
          <w:rFonts w:asciiTheme="minorHAnsi" w:eastAsiaTheme="minorHAnsi" w:hAnsiTheme="minorHAnsi" w:cstheme="minorHAnsi"/>
          <w:sz w:val="22"/>
          <w:szCs w:val="22"/>
        </w:rPr>
        <w:t xml:space="preserve"> Gestion (agrément AMF GP</w:t>
      </w:r>
      <w:r w:rsidRPr="00E8678D">
        <w:rPr>
          <w:rFonts w:asciiTheme="minorHAnsi" w:eastAsiaTheme="minorHAnsi" w:hAnsiTheme="minorHAnsi" w:cstheme="minorHAnsi"/>
          <w:sz w:val="22"/>
          <w:szCs w:val="22"/>
        </w:rPr>
        <w:noBreakHyphen/>
        <w:t xml:space="preserve">15000024). </w:t>
      </w:r>
    </w:p>
    <w:p w14:paraId="20378588" w14:textId="77777777" w:rsidR="00A0074F" w:rsidRDefault="00E8678D" w:rsidP="00E8678D">
      <w:pPr>
        <w:numPr>
          <w:ilvl w:val="0"/>
          <w:numId w:val="41"/>
        </w:numPr>
        <w:spacing w:after="160" w:line="259" w:lineRule="auto"/>
        <w:ind w:left="426" w:hanging="284"/>
        <w:contextualSpacing/>
        <w:jc w:val="both"/>
        <w:rPr>
          <w:rFonts w:asciiTheme="minorHAnsi" w:eastAsiaTheme="minorHAnsi" w:hAnsiTheme="minorHAnsi" w:cstheme="minorHAnsi"/>
          <w:sz w:val="22"/>
          <w:szCs w:val="22"/>
        </w:rPr>
      </w:pPr>
      <w:r w:rsidRPr="00E8678D">
        <w:rPr>
          <w:rFonts w:asciiTheme="minorHAnsi" w:eastAsiaTheme="minorHAnsi" w:hAnsiTheme="minorHAnsi" w:cstheme="minorHAnsi"/>
          <w:sz w:val="22"/>
          <w:szCs w:val="22"/>
        </w:rPr>
        <w:t xml:space="preserve">Le FPS a été déclaré à l'AMF le 4 février 2026 et agréé en qualité d’ELTIF le 19 juin 2026. </w:t>
      </w:r>
    </w:p>
    <w:p w14:paraId="235D1E5F" w14:textId="3AC12F11" w:rsidR="00E8678D" w:rsidRPr="00E8678D" w:rsidRDefault="00E8678D" w:rsidP="00E8678D">
      <w:pPr>
        <w:numPr>
          <w:ilvl w:val="0"/>
          <w:numId w:val="41"/>
        </w:numPr>
        <w:spacing w:after="160" w:line="259" w:lineRule="auto"/>
        <w:ind w:left="426" w:hanging="284"/>
        <w:contextualSpacing/>
        <w:jc w:val="both"/>
        <w:rPr>
          <w:rFonts w:asciiTheme="minorHAnsi" w:eastAsiaTheme="minorHAnsi" w:hAnsiTheme="minorHAnsi" w:cstheme="minorHAnsi"/>
          <w:sz w:val="22"/>
          <w:szCs w:val="22"/>
        </w:rPr>
      </w:pPr>
      <w:r w:rsidRPr="00E8678D">
        <w:rPr>
          <w:rFonts w:asciiTheme="minorHAnsi" w:eastAsiaTheme="minorHAnsi" w:hAnsiTheme="minorHAnsi" w:cstheme="minorHAnsi"/>
          <w:sz w:val="22"/>
          <w:szCs w:val="22"/>
        </w:rPr>
        <w:t>Sa durée est de 30 ans.</w:t>
      </w:r>
    </w:p>
    <w:bookmarkEnd w:id="0"/>
    <w:p w14:paraId="2A895AFA" w14:textId="77777777" w:rsidR="00A109C3" w:rsidRPr="0019559E" w:rsidRDefault="00A109C3" w:rsidP="006A6D38">
      <w:pPr>
        <w:spacing w:after="120" w:line="259" w:lineRule="auto"/>
        <w:jc w:val="both"/>
        <w:rPr>
          <w:rFonts w:asciiTheme="minorHAnsi" w:hAnsiTheme="minorHAnsi" w:cstheme="minorHAnsi"/>
          <w:i/>
          <w:iCs/>
          <w:color w:val="000000" w:themeColor="text1"/>
          <w:sz w:val="22"/>
          <w:szCs w:val="22"/>
        </w:rPr>
      </w:pPr>
    </w:p>
    <w:p w14:paraId="02E89969" w14:textId="5E25906B" w:rsidR="00727007" w:rsidRDefault="00727007" w:rsidP="00727007">
      <w:pPr>
        <w:pStyle w:val="Paragraphedeliste"/>
        <w:numPr>
          <w:ilvl w:val="0"/>
          <w:numId w:val="39"/>
        </w:numPr>
        <w:spacing w:after="120" w:line="259" w:lineRule="auto"/>
        <w:jc w:val="both"/>
        <w:outlineLvl w:val="0"/>
        <w:rPr>
          <w:rFonts w:asciiTheme="minorHAnsi" w:eastAsia="MS Mincho" w:hAnsiTheme="minorHAnsi" w:cstheme="minorHAnsi"/>
          <w:b/>
          <w:color w:val="002060"/>
          <w:sz w:val="22"/>
          <w:szCs w:val="22"/>
        </w:rPr>
      </w:pPr>
      <w:r w:rsidRPr="00C2651F">
        <w:rPr>
          <w:rFonts w:asciiTheme="minorHAnsi" w:eastAsia="MS Mincho" w:hAnsiTheme="minorHAnsi" w:cstheme="minorHAnsi"/>
          <w:b/>
          <w:color w:val="002060"/>
          <w:sz w:val="22"/>
          <w:szCs w:val="22"/>
        </w:rPr>
        <w:t xml:space="preserve">Objectifs de gestion et stratégie d’investissement du fonds PPG </w:t>
      </w:r>
      <w:r w:rsidR="002C718E">
        <w:rPr>
          <w:rFonts w:asciiTheme="minorHAnsi" w:eastAsia="MS Mincho" w:hAnsiTheme="minorHAnsi" w:cstheme="minorHAnsi"/>
          <w:b/>
          <w:color w:val="002060"/>
          <w:sz w:val="22"/>
          <w:szCs w:val="22"/>
        </w:rPr>
        <w:t>EDESIA</w:t>
      </w:r>
    </w:p>
    <w:p w14:paraId="30520CDD" w14:textId="77777777" w:rsidR="00727007" w:rsidRPr="00C2651F" w:rsidRDefault="00727007" w:rsidP="00727007">
      <w:pPr>
        <w:pStyle w:val="Paragraphedeliste"/>
        <w:numPr>
          <w:ilvl w:val="1"/>
          <w:numId w:val="39"/>
        </w:numPr>
        <w:spacing w:after="120" w:line="259" w:lineRule="auto"/>
        <w:jc w:val="both"/>
        <w:outlineLvl w:val="0"/>
        <w:rPr>
          <w:rFonts w:asciiTheme="minorHAnsi" w:eastAsia="MS Mincho" w:hAnsiTheme="minorHAnsi" w:cstheme="minorHAnsi"/>
          <w:b/>
          <w:color w:val="002060"/>
          <w:sz w:val="22"/>
          <w:szCs w:val="22"/>
        </w:rPr>
      </w:pPr>
      <w:r>
        <w:rPr>
          <w:rFonts w:asciiTheme="minorHAnsi" w:eastAsia="MS Mincho" w:hAnsiTheme="minorHAnsi" w:cstheme="minorHAnsi"/>
          <w:b/>
          <w:color w:val="002060"/>
          <w:sz w:val="22"/>
          <w:szCs w:val="22"/>
        </w:rPr>
        <w:t>Objectifs de gestion</w:t>
      </w:r>
    </w:p>
    <w:p w14:paraId="56EEAB8B" w14:textId="77777777" w:rsidR="002C718E" w:rsidRDefault="002C718E" w:rsidP="006813ED">
      <w:pPr>
        <w:pStyle w:val="Sansinterligne"/>
        <w:spacing w:after="120"/>
        <w:jc w:val="both"/>
        <w:rPr>
          <w:rFonts w:asciiTheme="minorHAnsi" w:hAnsiTheme="minorHAnsi" w:cstheme="minorHAnsi"/>
        </w:rPr>
      </w:pPr>
    </w:p>
    <w:p w14:paraId="7C248C2E" w14:textId="77777777" w:rsidR="001827ED" w:rsidRPr="001827ED" w:rsidRDefault="001827ED" w:rsidP="001827ED">
      <w:pPr>
        <w:pStyle w:val="Sansinterligne"/>
        <w:spacing w:after="120"/>
        <w:jc w:val="both"/>
        <w:rPr>
          <w:rFonts w:asciiTheme="minorHAnsi" w:hAnsiTheme="minorHAnsi" w:cstheme="minorHAnsi"/>
        </w:rPr>
      </w:pPr>
      <w:r w:rsidRPr="001827ED">
        <w:rPr>
          <w:rFonts w:asciiTheme="minorHAnsi" w:hAnsiTheme="minorHAnsi" w:cstheme="minorHAnsi"/>
        </w:rPr>
        <w:t>Le FPS PPG EDESIA a pour objectif de générer une appréciation du capital à long terme au travers d'investissements immobiliers réalisés principalement de manière indirecte via des sociétés de portefeuille ou des structures intermédiaires.</w:t>
      </w:r>
    </w:p>
    <w:p w14:paraId="2122CE67" w14:textId="77777777" w:rsidR="001827ED" w:rsidRPr="001827ED" w:rsidRDefault="001827ED" w:rsidP="001827ED">
      <w:pPr>
        <w:pStyle w:val="Sansinterligne"/>
        <w:spacing w:after="120"/>
        <w:jc w:val="both"/>
        <w:rPr>
          <w:rFonts w:asciiTheme="minorHAnsi" w:hAnsiTheme="minorHAnsi" w:cstheme="minorHAnsi"/>
        </w:rPr>
      </w:pPr>
      <w:r w:rsidRPr="001827ED">
        <w:rPr>
          <w:rFonts w:asciiTheme="minorHAnsi" w:hAnsiTheme="minorHAnsi" w:cstheme="minorHAnsi"/>
        </w:rPr>
        <w:t>Le Fonds investit principalement dans des actifs immobiliers professionnels situés en France métropolitaine et dans les départements et régions d'outre-mer. La stratégie d'investissement privilégie les actifs liés à la thématique de l'alimentation, notamment les surfaces alimentaires, les actifs de restauration, les locaux de stockage et d'activité ainsi que les actifs immobiliers professionnels répondant aux évolutions des besoins de consommation.</w:t>
      </w:r>
    </w:p>
    <w:p w14:paraId="4F550B7A" w14:textId="77777777" w:rsidR="001827ED" w:rsidRPr="001827ED" w:rsidRDefault="001827ED" w:rsidP="001827ED">
      <w:pPr>
        <w:pStyle w:val="Sansinterligne"/>
        <w:spacing w:after="120"/>
        <w:jc w:val="both"/>
        <w:rPr>
          <w:rFonts w:asciiTheme="minorHAnsi" w:hAnsiTheme="minorHAnsi" w:cstheme="minorHAnsi"/>
        </w:rPr>
      </w:pPr>
      <w:r w:rsidRPr="001827ED">
        <w:rPr>
          <w:rFonts w:asciiTheme="minorHAnsi" w:hAnsiTheme="minorHAnsi" w:cstheme="minorHAnsi"/>
        </w:rPr>
        <w:t>L'objectif de taux de rendement interne (TRI) cible est de 7 % par an, net des frais de gestion mais hors commissions de souscription. Cet objectif constitue une cible de gestion et ne représente ni une garantie de rendement ni un engagement de la société de gestion</w:t>
      </w:r>
    </w:p>
    <w:p w14:paraId="7795BF83" w14:textId="0036D1F8" w:rsidR="0076674D" w:rsidRPr="0076674D" w:rsidRDefault="0076674D" w:rsidP="0076674D">
      <w:pPr>
        <w:pStyle w:val="Sansinterligne"/>
        <w:spacing w:after="120"/>
        <w:jc w:val="both"/>
        <w:rPr>
          <w:rFonts w:asciiTheme="minorHAnsi" w:hAnsiTheme="minorHAnsi" w:cstheme="minorHAnsi"/>
        </w:rPr>
      </w:pPr>
      <w:r w:rsidRPr="0076674D">
        <w:rPr>
          <w:rFonts w:asciiTheme="minorHAnsi" w:hAnsiTheme="minorHAnsi" w:cstheme="minorHAnsi"/>
        </w:rPr>
        <w:t>Les actifs immobiliers n’ont pas vocation à être régulièrement arbitrés : la détention des actifs immobilier</w:t>
      </w:r>
      <w:r w:rsidR="008B6ED7">
        <w:rPr>
          <w:rFonts w:asciiTheme="minorHAnsi" w:hAnsiTheme="minorHAnsi" w:cstheme="minorHAnsi"/>
        </w:rPr>
        <w:t>s</w:t>
      </w:r>
      <w:r w:rsidRPr="0076674D">
        <w:rPr>
          <w:rFonts w:asciiTheme="minorHAnsi" w:hAnsiTheme="minorHAnsi" w:cstheme="minorHAnsi"/>
        </w:rPr>
        <w:t xml:space="preserve"> est à long terme. </w:t>
      </w:r>
    </w:p>
    <w:p w14:paraId="778BB891" w14:textId="77777777" w:rsidR="00F83F97" w:rsidRPr="00D15BD4" w:rsidRDefault="00F83F97" w:rsidP="00F83F97">
      <w:pPr>
        <w:pStyle w:val="Sansinterligne"/>
        <w:spacing w:after="120"/>
        <w:jc w:val="both"/>
        <w:rPr>
          <w:rFonts w:asciiTheme="minorHAnsi" w:hAnsiTheme="minorHAnsi" w:cstheme="minorHAnsi"/>
        </w:rPr>
      </w:pPr>
      <w:r w:rsidRPr="00D15BD4">
        <w:rPr>
          <w:rFonts w:asciiTheme="minorHAnsi" w:hAnsiTheme="minorHAnsi" w:cstheme="minorHAnsi"/>
        </w:rPr>
        <w:t>Pour financer ses investissements, le Fonds peut recourir à l'endettement dans la limite de 50 % de son actif net, correspondant à un niveau de levier maximal de 1,5.</w:t>
      </w:r>
    </w:p>
    <w:p w14:paraId="1ED21BDC" w14:textId="77777777" w:rsidR="004C1A5D" w:rsidRDefault="004C1A5D" w:rsidP="00654143">
      <w:pPr>
        <w:pStyle w:val="Sansinterligne"/>
        <w:spacing w:after="120"/>
        <w:jc w:val="both"/>
        <w:rPr>
          <w:rFonts w:asciiTheme="minorHAnsi" w:hAnsiTheme="minorHAnsi" w:cstheme="minorHAnsi"/>
        </w:rPr>
      </w:pPr>
    </w:p>
    <w:p w14:paraId="4A6F7905" w14:textId="77777777" w:rsidR="009D23F9" w:rsidRPr="009D23F9" w:rsidRDefault="009D23F9" w:rsidP="009D23F9">
      <w:pPr>
        <w:pStyle w:val="Paragraphedeliste"/>
        <w:numPr>
          <w:ilvl w:val="1"/>
          <w:numId w:val="39"/>
        </w:numPr>
        <w:spacing w:after="120" w:line="259" w:lineRule="auto"/>
        <w:jc w:val="both"/>
        <w:outlineLvl w:val="0"/>
        <w:rPr>
          <w:rFonts w:asciiTheme="minorHAnsi" w:eastAsia="MS Mincho" w:hAnsiTheme="minorHAnsi" w:cstheme="minorHAnsi"/>
          <w:b/>
          <w:color w:val="002060"/>
          <w:sz w:val="22"/>
          <w:szCs w:val="22"/>
        </w:rPr>
      </w:pPr>
      <w:r w:rsidRPr="009D23F9">
        <w:rPr>
          <w:rFonts w:asciiTheme="minorHAnsi" w:eastAsia="MS Mincho" w:hAnsiTheme="minorHAnsi" w:cstheme="minorHAnsi"/>
          <w:b/>
          <w:color w:val="002060"/>
          <w:sz w:val="22"/>
          <w:szCs w:val="22"/>
        </w:rPr>
        <w:t>Stratégie d'investissement globale de la SPPPICAV</w:t>
      </w:r>
    </w:p>
    <w:p w14:paraId="20268B6F" w14:textId="77777777" w:rsidR="00785663" w:rsidRPr="00785663" w:rsidRDefault="00785663" w:rsidP="00785663">
      <w:pPr>
        <w:pStyle w:val="Sansinterligne"/>
        <w:spacing w:after="120"/>
        <w:jc w:val="both"/>
        <w:rPr>
          <w:color w:val="1D1B11"/>
        </w:rPr>
      </w:pPr>
      <w:r w:rsidRPr="00785663">
        <w:rPr>
          <w:color w:val="1D1B11"/>
        </w:rPr>
        <w:t>La stratégie du FPS repose sur une approche combinant des investissements immobiliers de long terme et des opérations plus opportunistes de création de valeur.</w:t>
      </w:r>
    </w:p>
    <w:p w14:paraId="01BFD973" w14:textId="77777777" w:rsidR="00785663" w:rsidRPr="00785663" w:rsidRDefault="00785663" w:rsidP="00785663">
      <w:pPr>
        <w:pStyle w:val="Sansinterligne"/>
        <w:spacing w:after="120"/>
        <w:jc w:val="both"/>
        <w:rPr>
          <w:color w:val="1D1B11"/>
        </w:rPr>
      </w:pPr>
      <w:r w:rsidRPr="00785663">
        <w:rPr>
          <w:color w:val="1D1B11"/>
        </w:rPr>
        <w:t>Le patrimoine du Fonds s'articule autour de trois poches d'investissement complémentaires :</w:t>
      </w:r>
    </w:p>
    <w:p w14:paraId="11824342" w14:textId="176691CE" w:rsidR="00CB29DF" w:rsidRPr="007251A8" w:rsidRDefault="00785663" w:rsidP="007251A8">
      <w:pPr>
        <w:pStyle w:val="Sansinterligne"/>
        <w:spacing w:after="120"/>
        <w:jc w:val="both"/>
        <w:rPr>
          <w:rFonts w:asciiTheme="minorHAnsi" w:hAnsiTheme="minorHAnsi" w:cstheme="minorHAnsi"/>
          <w:b/>
          <w:bCs/>
        </w:rPr>
      </w:pPr>
      <w:r w:rsidRPr="007251A8">
        <w:rPr>
          <w:rFonts w:asciiTheme="minorHAnsi" w:hAnsiTheme="minorHAnsi" w:cstheme="minorHAnsi"/>
          <w:b/>
          <w:bCs/>
        </w:rPr>
        <w:t>Poche immobilière long terme :</w:t>
      </w:r>
    </w:p>
    <w:p w14:paraId="1316263D" w14:textId="08B6EF66" w:rsidR="00785663" w:rsidRPr="00785663" w:rsidRDefault="00785663" w:rsidP="00785663">
      <w:pPr>
        <w:pStyle w:val="Sansinterligne"/>
        <w:spacing w:after="120"/>
        <w:jc w:val="both"/>
        <w:rPr>
          <w:color w:val="1D1B11"/>
        </w:rPr>
      </w:pPr>
      <w:r w:rsidRPr="00CB29DF">
        <w:rPr>
          <w:color w:val="1D1B11"/>
        </w:rPr>
        <w:t>Cette poche constitue le cœur du portefeuille et représentera au minimum 70 % de l'actif net du Fonds</w:t>
      </w:r>
      <w:r w:rsidR="000F1735">
        <w:rPr>
          <w:color w:val="1D1B11"/>
        </w:rPr>
        <w:t>, à l’issue d’un délai de 5 ans après agrément ELTIF du Fonds</w:t>
      </w:r>
      <w:r w:rsidRPr="00CB29DF">
        <w:rPr>
          <w:color w:val="1D1B11"/>
        </w:rPr>
        <w:t>.</w:t>
      </w:r>
      <w:r w:rsidR="00C05371">
        <w:rPr>
          <w:color w:val="1D1B11"/>
        </w:rPr>
        <w:t xml:space="preserve"> </w:t>
      </w:r>
      <w:r w:rsidRPr="00785663">
        <w:rPr>
          <w:color w:val="1D1B11"/>
        </w:rPr>
        <w:t>Le FPS investira principalement dans des actifs immobiliers professionnels destinés à être détenus sur une durée longue, supérieure à cinq ans. Les investissements seront réalisés au travers de sociétés détenant directement les actifs immobiliers et permettant leur exploitation locative.</w:t>
      </w:r>
      <w:r w:rsidR="00C05371">
        <w:rPr>
          <w:color w:val="1D1B11"/>
        </w:rPr>
        <w:t xml:space="preserve"> </w:t>
      </w:r>
      <w:r w:rsidRPr="00785663">
        <w:rPr>
          <w:color w:val="1D1B11"/>
        </w:rPr>
        <w:t>La société de gestion privilégiera les actifs bénéficiant de revenus locatifs récurrents et offrant un potentiel de valorisation à long terme</w:t>
      </w:r>
    </w:p>
    <w:p w14:paraId="4B030C54" w14:textId="109809AF" w:rsidR="00C41292" w:rsidRPr="00C41292" w:rsidRDefault="00C41292" w:rsidP="00C41292">
      <w:pPr>
        <w:pStyle w:val="Sansinterligne"/>
        <w:spacing w:after="120"/>
        <w:jc w:val="both"/>
        <w:rPr>
          <w:rFonts w:asciiTheme="minorHAnsi" w:hAnsiTheme="minorHAnsi" w:cstheme="minorHAnsi"/>
          <w:b/>
          <w:bCs/>
        </w:rPr>
      </w:pPr>
      <w:r w:rsidRPr="00C41292">
        <w:rPr>
          <w:rFonts w:asciiTheme="minorHAnsi" w:hAnsiTheme="minorHAnsi" w:cstheme="minorHAnsi"/>
          <w:b/>
          <w:bCs/>
        </w:rPr>
        <w:t>Poche immobilière court terme</w:t>
      </w:r>
      <w:r w:rsidR="007251A8">
        <w:rPr>
          <w:rFonts w:asciiTheme="minorHAnsi" w:hAnsiTheme="minorHAnsi" w:cstheme="minorHAnsi"/>
          <w:b/>
          <w:bCs/>
        </w:rPr>
        <w:t> :</w:t>
      </w:r>
    </w:p>
    <w:p w14:paraId="72CB7E64" w14:textId="25377CC0" w:rsidR="00C41292" w:rsidRPr="00C41292" w:rsidRDefault="00C41292" w:rsidP="00C41292">
      <w:pPr>
        <w:pStyle w:val="Sansinterligne"/>
        <w:spacing w:after="120"/>
        <w:jc w:val="both"/>
        <w:rPr>
          <w:rFonts w:asciiTheme="minorHAnsi" w:hAnsiTheme="minorHAnsi" w:cstheme="minorHAnsi"/>
        </w:rPr>
      </w:pPr>
      <w:r w:rsidRPr="00C41292">
        <w:rPr>
          <w:rFonts w:asciiTheme="minorHAnsi" w:hAnsiTheme="minorHAnsi" w:cstheme="minorHAnsi"/>
        </w:rPr>
        <w:t>Cette poche représentera au maximum 20 % de l'actif net du Fonds</w:t>
      </w:r>
      <w:r w:rsidR="00376834">
        <w:rPr>
          <w:rFonts w:asciiTheme="minorHAnsi" w:hAnsiTheme="minorHAnsi" w:cstheme="minorHAnsi"/>
        </w:rPr>
        <w:t>,</w:t>
      </w:r>
      <w:r w:rsidR="00376834" w:rsidRPr="00376834">
        <w:rPr>
          <w:color w:val="1D1B11"/>
        </w:rPr>
        <w:t xml:space="preserve"> </w:t>
      </w:r>
      <w:r w:rsidR="00376834">
        <w:rPr>
          <w:color w:val="1D1B11"/>
        </w:rPr>
        <w:t>à l’issue d’un délai de 5 ans après agrément ELTIF du Fonds</w:t>
      </w:r>
      <w:r w:rsidR="00376834" w:rsidRPr="00CB29DF">
        <w:rPr>
          <w:color w:val="1D1B11"/>
        </w:rPr>
        <w:t>.</w:t>
      </w:r>
      <w:r w:rsidRPr="00C41292">
        <w:rPr>
          <w:rFonts w:asciiTheme="minorHAnsi" w:hAnsiTheme="minorHAnsi" w:cstheme="minorHAnsi"/>
        </w:rPr>
        <w:t>.</w:t>
      </w:r>
      <w:r w:rsidR="00C05371">
        <w:rPr>
          <w:rFonts w:asciiTheme="minorHAnsi" w:hAnsiTheme="minorHAnsi" w:cstheme="minorHAnsi"/>
        </w:rPr>
        <w:t xml:space="preserve"> </w:t>
      </w:r>
      <w:r w:rsidRPr="00C41292">
        <w:rPr>
          <w:rFonts w:asciiTheme="minorHAnsi" w:hAnsiTheme="minorHAnsi" w:cstheme="minorHAnsi"/>
        </w:rPr>
        <w:t xml:space="preserve">Elle pourra être investie dans des opérations de promotion immobilière, de </w:t>
      </w:r>
      <w:r w:rsidRPr="00C41292">
        <w:rPr>
          <w:rFonts w:asciiTheme="minorHAnsi" w:hAnsiTheme="minorHAnsi" w:cstheme="minorHAnsi"/>
        </w:rPr>
        <w:lastRenderedPageBreak/>
        <w:t>restructuration, de rénovation d'actifs, de marchand de biens, de portage foncier ou encore dans l'acquisition de participations dans des fonds immobiliers présentant un potentiel de création de valeur sur une période comprise entre trois et cinq ans.</w:t>
      </w:r>
      <w:r w:rsidR="00C05371">
        <w:rPr>
          <w:rFonts w:asciiTheme="minorHAnsi" w:hAnsiTheme="minorHAnsi" w:cstheme="minorHAnsi"/>
        </w:rPr>
        <w:t xml:space="preserve"> </w:t>
      </w:r>
      <w:r w:rsidRPr="00C41292">
        <w:rPr>
          <w:rFonts w:asciiTheme="minorHAnsi" w:hAnsiTheme="minorHAnsi" w:cstheme="minorHAnsi"/>
        </w:rPr>
        <w:t xml:space="preserve">Cette poche vise à améliorer la performance globale du Fonds tout en conservant un niveau de diversification adapté. </w:t>
      </w:r>
    </w:p>
    <w:p w14:paraId="03BCBF9D" w14:textId="6D9F8A71" w:rsidR="00C41292" w:rsidRPr="00C41292" w:rsidRDefault="00C41292" w:rsidP="00C41292">
      <w:pPr>
        <w:pStyle w:val="Sansinterligne"/>
        <w:spacing w:after="120"/>
        <w:jc w:val="both"/>
        <w:rPr>
          <w:rFonts w:asciiTheme="minorHAnsi" w:hAnsiTheme="minorHAnsi" w:cstheme="minorHAnsi"/>
          <w:b/>
          <w:bCs/>
        </w:rPr>
      </w:pPr>
      <w:r w:rsidRPr="00C41292">
        <w:rPr>
          <w:rFonts w:asciiTheme="minorHAnsi" w:hAnsiTheme="minorHAnsi" w:cstheme="minorHAnsi"/>
          <w:b/>
          <w:bCs/>
        </w:rPr>
        <w:t>Poche de liquidité</w:t>
      </w:r>
      <w:r w:rsidR="007251A8">
        <w:rPr>
          <w:rFonts w:asciiTheme="minorHAnsi" w:hAnsiTheme="minorHAnsi" w:cstheme="minorHAnsi"/>
          <w:b/>
          <w:bCs/>
        </w:rPr>
        <w:t> :</w:t>
      </w:r>
    </w:p>
    <w:p w14:paraId="1F658FEC" w14:textId="532A9809" w:rsidR="00C41292" w:rsidRPr="00C41292" w:rsidRDefault="00C41292" w:rsidP="00C41292">
      <w:pPr>
        <w:pStyle w:val="Sansinterligne"/>
        <w:spacing w:after="120"/>
        <w:jc w:val="both"/>
        <w:rPr>
          <w:rFonts w:asciiTheme="minorHAnsi" w:hAnsiTheme="minorHAnsi" w:cstheme="minorHAnsi"/>
        </w:rPr>
      </w:pPr>
      <w:r w:rsidRPr="00C41292">
        <w:rPr>
          <w:rFonts w:asciiTheme="minorHAnsi" w:hAnsiTheme="minorHAnsi" w:cstheme="minorHAnsi"/>
        </w:rPr>
        <w:t>La poche de liquidité est composée d'actifs financiers liquides conformes à la réglementation applicable aux ELTIF.</w:t>
      </w:r>
      <w:r w:rsidR="00C05371">
        <w:rPr>
          <w:rFonts w:asciiTheme="minorHAnsi" w:hAnsiTheme="minorHAnsi" w:cstheme="minorHAnsi"/>
        </w:rPr>
        <w:t xml:space="preserve"> </w:t>
      </w:r>
      <w:r w:rsidRPr="00C41292">
        <w:rPr>
          <w:rFonts w:asciiTheme="minorHAnsi" w:hAnsiTheme="minorHAnsi" w:cstheme="minorHAnsi"/>
        </w:rPr>
        <w:t>Elle a notamment pour objectif d'assurer le fonctionnement courant du Fonds, de financer les investissements en attente de réalisation et de contribuer à la gestion des demandes de rachat. Une fois le portefeuille constitué, son niveau cible sera d'au moins 10 % de l'actif net</w:t>
      </w:r>
      <w:r w:rsidR="00376834">
        <w:rPr>
          <w:rFonts w:asciiTheme="minorHAnsi" w:hAnsiTheme="minorHAnsi" w:cstheme="minorHAnsi"/>
        </w:rPr>
        <w:t xml:space="preserve">, </w:t>
      </w:r>
      <w:r w:rsidR="00376834">
        <w:rPr>
          <w:color w:val="1D1B11"/>
        </w:rPr>
        <w:t>à l’issue d’un délai de 5 ans après agrément ELTIF du Fonds</w:t>
      </w:r>
      <w:r w:rsidRPr="00C41292">
        <w:rPr>
          <w:rFonts w:asciiTheme="minorHAnsi" w:hAnsiTheme="minorHAnsi" w:cstheme="minorHAnsi"/>
        </w:rPr>
        <w:t>.</w:t>
      </w:r>
    </w:p>
    <w:p w14:paraId="45002A23" w14:textId="60FD5C6A" w:rsidR="009D23F9" w:rsidRPr="00C967FF" w:rsidRDefault="009D23F9" w:rsidP="00C05371">
      <w:pPr>
        <w:pStyle w:val="Corpsdetexte"/>
        <w:spacing w:before="45" w:line="244" w:lineRule="auto"/>
        <w:ind w:right="561"/>
        <w:rPr>
          <w:rFonts w:ascii="Calibri Light" w:hAnsi="Calibri Light" w:cs="Calibri Light"/>
          <w:noProof/>
          <w:color w:val="1D1B11" w:themeColor="background2" w:themeShade="1A"/>
        </w:rPr>
      </w:pPr>
    </w:p>
    <w:p w14:paraId="4C64DAFD" w14:textId="77777777" w:rsidR="009D23F9" w:rsidRPr="009D23F9" w:rsidRDefault="009D23F9" w:rsidP="009D23F9">
      <w:pPr>
        <w:pStyle w:val="Paragraphedeliste"/>
        <w:numPr>
          <w:ilvl w:val="1"/>
          <w:numId w:val="39"/>
        </w:numPr>
        <w:spacing w:after="120" w:line="259" w:lineRule="auto"/>
        <w:jc w:val="both"/>
        <w:outlineLvl w:val="0"/>
        <w:rPr>
          <w:rFonts w:asciiTheme="minorHAnsi" w:eastAsia="MS Mincho" w:hAnsiTheme="minorHAnsi" w:cstheme="minorHAnsi"/>
          <w:b/>
          <w:color w:val="002060"/>
          <w:sz w:val="22"/>
          <w:szCs w:val="22"/>
        </w:rPr>
      </w:pPr>
      <w:r w:rsidRPr="009D23F9">
        <w:rPr>
          <w:rFonts w:asciiTheme="minorHAnsi" w:eastAsia="MS Mincho" w:hAnsiTheme="minorHAnsi" w:cstheme="minorHAnsi"/>
          <w:b/>
          <w:color w:val="002060"/>
          <w:sz w:val="22"/>
          <w:szCs w:val="22"/>
        </w:rPr>
        <w:t>Catégories d'Actifs Immobiliers</w:t>
      </w:r>
    </w:p>
    <w:p w14:paraId="68D54924" w14:textId="77777777" w:rsidR="00346C9D" w:rsidRPr="00346C9D" w:rsidRDefault="00346C9D" w:rsidP="00346C9D">
      <w:pPr>
        <w:pStyle w:val="Sansinterligne"/>
        <w:spacing w:after="120"/>
        <w:jc w:val="both"/>
        <w:rPr>
          <w:rFonts w:asciiTheme="minorHAnsi" w:hAnsiTheme="minorHAnsi" w:cstheme="minorHAnsi"/>
        </w:rPr>
      </w:pPr>
      <w:r w:rsidRPr="00346C9D">
        <w:rPr>
          <w:rFonts w:asciiTheme="minorHAnsi" w:hAnsiTheme="minorHAnsi" w:cstheme="minorHAnsi"/>
        </w:rPr>
        <w:t>Le Fonds investit principalement dans :</w:t>
      </w:r>
    </w:p>
    <w:p w14:paraId="5963C8C9" w14:textId="77777777" w:rsidR="00346C9D" w:rsidRPr="00346C9D" w:rsidRDefault="00346C9D" w:rsidP="00346C9D">
      <w:pPr>
        <w:pStyle w:val="Sansinterligne"/>
        <w:numPr>
          <w:ilvl w:val="0"/>
          <w:numId w:val="47"/>
        </w:numPr>
        <w:spacing w:after="120"/>
        <w:jc w:val="both"/>
        <w:rPr>
          <w:rFonts w:asciiTheme="minorHAnsi" w:hAnsiTheme="minorHAnsi" w:cstheme="minorHAnsi"/>
        </w:rPr>
      </w:pPr>
      <w:r w:rsidRPr="00346C9D">
        <w:rPr>
          <w:rFonts w:asciiTheme="minorHAnsi" w:hAnsiTheme="minorHAnsi" w:cstheme="minorHAnsi"/>
        </w:rPr>
        <w:t>des sociétés détenant des actifs immobiliers professionnels ;</w:t>
      </w:r>
    </w:p>
    <w:p w14:paraId="641AB7A3" w14:textId="77777777" w:rsidR="00346C9D" w:rsidRPr="00346C9D" w:rsidRDefault="00346C9D" w:rsidP="00346C9D">
      <w:pPr>
        <w:pStyle w:val="Sansinterligne"/>
        <w:numPr>
          <w:ilvl w:val="0"/>
          <w:numId w:val="47"/>
        </w:numPr>
        <w:spacing w:after="120"/>
        <w:jc w:val="both"/>
        <w:rPr>
          <w:rFonts w:asciiTheme="minorHAnsi" w:hAnsiTheme="minorHAnsi" w:cstheme="minorHAnsi"/>
        </w:rPr>
      </w:pPr>
      <w:r w:rsidRPr="00346C9D">
        <w:rPr>
          <w:rFonts w:asciiTheme="minorHAnsi" w:hAnsiTheme="minorHAnsi" w:cstheme="minorHAnsi"/>
        </w:rPr>
        <w:t>des opérations immobilières de rendement ;</w:t>
      </w:r>
    </w:p>
    <w:p w14:paraId="7003C247" w14:textId="77777777" w:rsidR="00346C9D" w:rsidRPr="00346C9D" w:rsidRDefault="00346C9D" w:rsidP="00346C9D">
      <w:pPr>
        <w:pStyle w:val="Sansinterligne"/>
        <w:numPr>
          <w:ilvl w:val="0"/>
          <w:numId w:val="47"/>
        </w:numPr>
        <w:spacing w:after="120"/>
        <w:jc w:val="both"/>
        <w:rPr>
          <w:rFonts w:asciiTheme="minorHAnsi" w:hAnsiTheme="minorHAnsi" w:cstheme="minorHAnsi"/>
        </w:rPr>
      </w:pPr>
      <w:r w:rsidRPr="00346C9D">
        <w:rPr>
          <w:rFonts w:asciiTheme="minorHAnsi" w:hAnsiTheme="minorHAnsi" w:cstheme="minorHAnsi"/>
        </w:rPr>
        <w:t>des opérations de restructuration ou de valorisation immobilière ;</w:t>
      </w:r>
    </w:p>
    <w:p w14:paraId="5B41045E" w14:textId="77777777" w:rsidR="00346C9D" w:rsidRPr="00346C9D" w:rsidRDefault="00346C9D" w:rsidP="00346C9D">
      <w:pPr>
        <w:pStyle w:val="Sansinterligne"/>
        <w:numPr>
          <w:ilvl w:val="0"/>
          <w:numId w:val="47"/>
        </w:numPr>
        <w:spacing w:after="120"/>
        <w:jc w:val="both"/>
        <w:rPr>
          <w:rFonts w:asciiTheme="minorHAnsi" w:hAnsiTheme="minorHAnsi" w:cstheme="minorHAnsi"/>
        </w:rPr>
      </w:pPr>
      <w:r w:rsidRPr="00346C9D">
        <w:rPr>
          <w:rFonts w:asciiTheme="minorHAnsi" w:hAnsiTheme="minorHAnsi" w:cstheme="minorHAnsi"/>
        </w:rPr>
        <w:t>des actifs liés aux secteurs de l'alimentation, de la restauration, de la distribution alimentaire, du stockage et de la logistique ;</w:t>
      </w:r>
    </w:p>
    <w:p w14:paraId="68517D9C" w14:textId="77777777" w:rsidR="00346C9D" w:rsidRPr="00346C9D" w:rsidRDefault="00346C9D" w:rsidP="00346C9D">
      <w:pPr>
        <w:pStyle w:val="Sansinterligne"/>
        <w:numPr>
          <w:ilvl w:val="0"/>
          <w:numId w:val="47"/>
        </w:numPr>
        <w:spacing w:after="120"/>
        <w:jc w:val="both"/>
        <w:rPr>
          <w:rFonts w:asciiTheme="minorHAnsi" w:hAnsiTheme="minorHAnsi" w:cstheme="minorHAnsi"/>
        </w:rPr>
      </w:pPr>
      <w:r w:rsidRPr="00346C9D">
        <w:rPr>
          <w:rFonts w:asciiTheme="minorHAnsi" w:hAnsiTheme="minorHAnsi" w:cstheme="minorHAnsi"/>
        </w:rPr>
        <w:t>des participations dans d'autres véhicules immobiliers compatibles avec la réglementation ELTIF ;</w:t>
      </w:r>
    </w:p>
    <w:p w14:paraId="194CC65B" w14:textId="77777777" w:rsidR="00346C9D" w:rsidRPr="00346C9D" w:rsidRDefault="00346C9D" w:rsidP="00346C9D">
      <w:pPr>
        <w:pStyle w:val="Sansinterligne"/>
        <w:numPr>
          <w:ilvl w:val="0"/>
          <w:numId w:val="47"/>
        </w:numPr>
        <w:spacing w:after="120"/>
        <w:jc w:val="both"/>
        <w:rPr>
          <w:rFonts w:asciiTheme="minorHAnsi" w:hAnsiTheme="minorHAnsi" w:cstheme="minorHAnsi"/>
        </w:rPr>
      </w:pPr>
      <w:r w:rsidRPr="00346C9D">
        <w:rPr>
          <w:rFonts w:asciiTheme="minorHAnsi" w:hAnsiTheme="minorHAnsi" w:cstheme="minorHAnsi"/>
        </w:rPr>
        <w:t>des instruments financiers de trésorerie destinés à la gestion de la liquidité du Fonds.</w:t>
      </w:r>
    </w:p>
    <w:p w14:paraId="420A8258" w14:textId="77777777" w:rsidR="009D23F9" w:rsidRPr="00C967FF" w:rsidRDefault="009D23F9" w:rsidP="009D23F9">
      <w:pPr>
        <w:pStyle w:val="Paragraphedeliste"/>
        <w:tabs>
          <w:tab w:val="left" w:pos="869"/>
        </w:tabs>
        <w:ind w:left="1440" w:right="561"/>
        <w:rPr>
          <w:rFonts w:ascii="Calibri Light" w:hAnsi="Calibri Light" w:cs="Calibri Light"/>
          <w:noProof/>
          <w:color w:val="1D1B11" w:themeColor="background2" w:themeShade="1A"/>
          <w:w w:val="105"/>
          <w:sz w:val="22"/>
          <w:szCs w:val="22"/>
        </w:rPr>
      </w:pPr>
    </w:p>
    <w:p w14:paraId="28374FB9" w14:textId="3B1174A5" w:rsidR="009D23F9" w:rsidRPr="009D23F9" w:rsidRDefault="009D23F9" w:rsidP="009D23F9">
      <w:pPr>
        <w:pStyle w:val="Paragraphedeliste"/>
        <w:numPr>
          <w:ilvl w:val="1"/>
          <w:numId w:val="39"/>
        </w:numPr>
        <w:spacing w:after="120" w:line="259" w:lineRule="auto"/>
        <w:jc w:val="both"/>
        <w:outlineLvl w:val="0"/>
        <w:rPr>
          <w:rFonts w:asciiTheme="minorHAnsi" w:eastAsia="MS Mincho" w:hAnsiTheme="minorHAnsi" w:cstheme="minorHAnsi"/>
          <w:b/>
          <w:color w:val="002060"/>
          <w:sz w:val="22"/>
          <w:szCs w:val="22"/>
        </w:rPr>
      </w:pPr>
      <w:r w:rsidRPr="009D23F9">
        <w:rPr>
          <w:rFonts w:asciiTheme="minorHAnsi" w:eastAsia="MS Mincho" w:hAnsiTheme="minorHAnsi" w:cstheme="minorHAnsi"/>
          <w:b/>
          <w:color w:val="002060"/>
          <w:sz w:val="22"/>
          <w:szCs w:val="22"/>
        </w:rPr>
        <w:t>Mode de détention et taille de la poche immobilière</w:t>
      </w:r>
    </w:p>
    <w:p w14:paraId="697946A7" w14:textId="77777777" w:rsidR="00B12148" w:rsidRPr="00B12148" w:rsidRDefault="00B12148" w:rsidP="00B12148">
      <w:pPr>
        <w:pStyle w:val="Sansinterligne"/>
        <w:spacing w:after="120"/>
        <w:jc w:val="both"/>
        <w:rPr>
          <w:rFonts w:asciiTheme="minorHAnsi" w:hAnsiTheme="minorHAnsi" w:cstheme="minorHAnsi"/>
        </w:rPr>
      </w:pPr>
      <w:r w:rsidRPr="00B12148">
        <w:rPr>
          <w:rFonts w:asciiTheme="minorHAnsi" w:hAnsiTheme="minorHAnsi" w:cstheme="minorHAnsi"/>
        </w:rPr>
        <w:t>Les investissements du FPS seront principalement réalisés de manière indirecte au travers de sociétés de portefeuille ou de structures intermédiaires spécialement constituées pour la détention des actifs.</w:t>
      </w:r>
    </w:p>
    <w:p w14:paraId="6C986E33" w14:textId="77777777" w:rsidR="00B12148" w:rsidRPr="00B12148" w:rsidRDefault="00B12148" w:rsidP="00B12148">
      <w:pPr>
        <w:pStyle w:val="Sansinterligne"/>
        <w:spacing w:after="120"/>
        <w:jc w:val="both"/>
        <w:rPr>
          <w:rFonts w:asciiTheme="minorHAnsi" w:hAnsiTheme="minorHAnsi" w:cstheme="minorHAnsi"/>
        </w:rPr>
      </w:pPr>
      <w:r w:rsidRPr="00B12148">
        <w:rPr>
          <w:rFonts w:asciiTheme="minorHAnsi" w:hAnsiTheme="minorHAnsi" w:cstheme="minorHAnsi"/>
        </w:rPr>
        <w:t>Cette organisation permet d'optimiser l'acquisition, le financement, l'exploitation et la gestion des actifs immobiliers dans le respect des règles applicables aux ELTIF.</w:t>
      </w:r>
    </w:p>
    <w:p w14:paraId="2EC88C32" w14:textId="65C4B637" w:rsidR="00B12148" w:rsidRDefault="00B12148" w:rsidP="00B12148">
      <w:pPr>
        <w:pStyle w:val="Sansinterligne"/>
        <w:spacing w:after="120"/>
        <w:jc w:val="both"/>
        <w:rPr>
          <w:rFonts w:asciiTheme="minorHAnsi" w:hAnsiTheme="minorHAnsi" w:cstheme="minorHAnsi"/>
        </w:rPr>
      </w:pPr>
      <w:r w:rsidRPr="00B12148">
        <w:rPr>
          <w:rFonts w:asciiTheme="minorHAnsi" w:hAnsiTheme="minorHAnsi" w:cstheme="minorHAnsi"/>
        </w:rPr>
        <w:t xml:space="preserve">Le Fonds pourra également réaliser des </w:t>
      </w:r>
      <w:proofErr w:type="spellStart"/>
      <w:r w:rsidRPr="00B12148">
        <w:rPr>
          <w:rFonts w:asciiTheme="minorHAnsi" w:hAnsiTheme="minorHAnsi" w:cstheme="minorHAnsi"/>
        </w:rPr>
        <w:t>co</w:t>
      </w:r>
      <w:proofErr w:type="spellEnd"/>
      <w:r w:rsidRPr="00B12148">
        <w:rPr>
          <w:rFonts w:asciiTheme="minorHAnsi" w:hAnsiTheme="minorHAnsi" w:cstheme="minorHAnsi"/>
        </w:rPr>
        <w:t>-investissements avec d'autres investisseurs ou avec certains véhicules gérés par Pierre 1</w:t>
      </w:r>
      <w:r w:rsidRPr="003F5673">
        <w:rPr>
          <w:rFonts w:asciiTheme="minorHAnsi" w:hAnsiTheme="minorHAnsi" w:cstheme="minorHAnsi"/>
          <w:vertAlign w:val="superscript"/>
        </w:rPr>
        <w:t>er</w:t>
      </w:r>
      <w:r w:rsidR="003F5673">
        <w:rPr>
          <w:rFonts w:asciiTheme="minorHAnsi" w:hAnsiTheme="minorHAnsi" w:cstheme="minorHAnsi"/>
        </w:rPr>
        <w:t xml:space="preserve"> </w:t>
      </w:r>
      <w:r w:rsidRPr="00B12148">
        <w:rPr>
          <w:rFonts w:asciiTheme="minorHAnsi" w:hAnsiTheme="minorHAnsi" w:cstheme="minorHAnsi"/>
        </w:rPr>
        <w:t>Gestion lorsque ces opérations présentent un intérêt pour les porteurs de parts et respectent les règles de gestion des conflits d'intérêts prévues par le prospectus</w:t>
      </w:r>
    </w:p>
    <w:p w14:paraId="0002001A" w14:textId="77777777" w:rsidR="003F5673" w:rsidRPr="00B12148" w:rsidRDefault="003F5673" w:rsidP="00B12148">
      <w:pPr>
        <w:pStyle w:val="Sansinterligne"/>
        <w:spacing w:after="120"/>
        <w:jc w:val="both"/>
        <w:rPr>
          <w:rFonts w:asciiTheme="minorHAnsi" w:hAnsiTheme="minorHAnsi" w:cstheme="minorHAnsi"/>
        </w:rPr>
      </w:pPr>
    </w:p>
    <w:p w14:paraId="5D605C70" w14:textId="77777777" w:rsidR="007C45E1" w:rsidRPr="00CA6B6A" w:rsidRDefault="007C45E1" w:rsidP="007C45E1">
      <w:pPr>
        <w:pStyle w:val="Paragraphedeliste"/>
        <w:numPr>
          <w:ilvl w:val="1"/>
          <w:numId w:val="39"/>
        </w:numPr>
        <w:spacing w:after="120" w:line="259" w:lineRule="auto"/>
        <w:jc w:val="both"/>
        <w:outlineLvl w:val="0"/>
        <w:rPr>
          <w:rFonts w:asciiTheme="minorHAnsi" w:eastAsia="MS Mincho" w:hAnsiTheme="minorHAnsi" w:cstheme="minorHAnsi"/>
          <w:b/>
          <w:color w:val="002060"/>
          <w:sz w:val="22"/>
          <w:szCs w:val="22"/>
        </w:rPr>
      </w:pPr>
      <w:r w:rsidRPr="00CA6B6A">
        <w:rPr>
          <w:rFonts w:asciiTheme="minorHAnsi" w:eastAsia="MS Mincho" w:hAnsiTheme="minorHAnsi" w:cstheme="minorHAnsi"/>
          <w:b/>
          <w:color w:val="002060"/>
          <w:sz w:val="22"/>
          <w:szCs w:val="22"/>
        </w:rPr>
        <w:t>Résumé</w:t>
      </w:r>
    </w:p>
    <w:p w14:paraId="35386982" w14:textId="77777777" w:rsidR="00AB2707" w:rsidRPr="00AB2707" w:rsidRDefault="00AB2707" w:rsidP="00AB2707">
      <w:pPr>
        <w:pStyle w:val="Sansinterligne"/>
        <w:spacing w:after="120"/>
        <w:jc w:val="both"/>
        <w:rPr>
          <w:rFonts w:asciiTheme="minorHAnsi" w:hAnsiTheme="minorHAnsi" w:cstheme="minorHAnsi"/>
        </w:rPr>
      </w:pPr>
      <w:r w:rsidRPr="00AB2707">
        <w:rPr>
          <w:rFonts w:asciiTheme="minorHAnsi" w:hAnsiTheme="minorHAnsi" w:cstheme="minorHAnsi"/>
        </w:rPr>
        <w:t>Le FPS PPG EDESIA est un Fonds Professionnel Spécialisé bénéficiant du statut ELTIF dont l'objectif est de permettre aux investisseurs d'accéder à un portefeuille diversifié d'actifs immobiliers professionnels.</w:t>
      </w:r>
    </w:p>
    <w:p w14:paraId="50347844" w14:textId="77777777" w:rsidR="00AB2707" w:rsidRPr="00AB2707" w:rsidRDefault="00AB2707" w:rsidP="00AB2707">
      <w:pPr>
        <w:pStyle w:val="Sansinterligne"/>
        <w:spacing w:after="120"/>
        <w:jc w:val="both"/>
        <w:rPr>
          <w:rFonts w:asciiTheme="minorHAnsi" w:hAnsiTheme="minorHAnsi" w:cstheme="minorHAnsi"/>
        </w:rPr>
      </w:pPr>
      <w:r w:rsidRPr="00AB2707">
        <w:rPr>
          <w:rFonts w:asciiTheme="minorHAnsi" w:hAnsiTheme="minorHAnsi" w:cstheme="minorHAnsi"/>
        </w:rPr>
        <w:t>Le Fonds privilégie les investissements liés à la thématique de l'alimentation et s'appuie sur une combinaison d'opérations de rendement à long terme et d'opérations opportunistes créatrices de valeur.</w:t>
      </w:r>
    </w:p>
    <w:p w14:paraId="07F6B2F5" w14:textId="71D148ED" w:rsidR="00AB2707" w:rsidRPr="00AB2707" w:rsidRDefault="00AB2707" w:rsidP="00AB2707">
      <w:pPr>
        <w:pStyle w:val="Sansinterligne"/>
        <w:spacing w:after="120"/>
        <w:jc w:val="both"/>
        <w:rPr>
          <w:rFonts w:asciiTheme="minorHAnsi" w:hAnsiTheme="minorHAnsi" w:cstheme="minorHAnsi"/>
        </w:rPr>
      </w:pPr>
      <w:r w:rsidRPr="00AB2707">
        <w:rPr>
          <w:rFonts w:asciiTheme="minorHAnsi" w:hAnsiTheme="minorHAnsi" w:cstheme="minorHAnsi"/>
        </w:rPr>
        <w:t>La stratégie repose sur une détention majoritairement indirecte des actifs immobiliers, un recours maîtrisé à l'endettement limité à 50 % de l'actif net.</w:t>
      </w:r>
    </w:p>
    <w:p w14:paraId="1E3C03D9" w14:textId="77777777" w:rsidR="00AB2707" w:rsidRPr="00AB2707" w:rsidRDefault="00AB2707" w:rsidP="00AB2707">
      <w:pPr>
        <w:pStyle w:val="Sansinterligne"/>
        <w:spacing w:after="120"/>
        <w:jc w:val="both"/>
        <w:rPr>
          <w:rFonts w:asciiTheme="minorHAnsi" w:hAnsiTheme="minorHAnsi" w:cstheme="minorHAnsi"/>
        </w:rPr>
      </w:pPr>
      <w:r w:rsidRPr="00AB2707">
        <w:rPr>
          <w:rFonts w:asciiTheme="minorHAnsi" w:hAnsiTheme="minorHAnsi" w:cstheme="minorHAnsi"/>
        </w:rPr>
        <w:t>L'investissement doit être envisagé dans une perspective de long terme compte tenu d'une période de blocage des parts de cinq ans, d'une liquidité encadrée et de l'absence de garantie en capital.</w:t>
      </w:r>
    </w:p>
    <w:p w14:paraId="6BB3F135" w14:textId="785A2488" w:rsidR="006E45AC" w:rsidRPr="006E45AC" w:rsidRDefault="006E45AC" w:rsidP="006E45AC">
      <w:pPr>
        <w:spacing w:after="120"/>
        <w:jc w:val="both"/>
        <w:rPr>
          <w:rFonts w:asciiTheme="minorHAnsi" w:eastAsiaTheme="minorHAnsi" w:hAnsiTheme="minorHAnsi" w:cstheme="minorHAnsi"/>
          <w:sz w:val="22"/>
          <w:szCs w:val="22"/>
          <w:lang w:eastAsia="en-US"/>
        </w:rPr>
      </w:pPr>
      <w:r w:rsidRPr="006E45AC">
        <w:rPr>
          <w:rFonts w:asciiTheme="minorHAnsi" w:eastAsiaTheme="minorHAnsi" w:hAnsiTheme="minorHAnsi" w:cstheme="minorHAnsi"/>
          <w:sz w:val="22"/>
          <w:szCs w:val="22"/>
          <w:lang w:eastAsia="en-US"/>
        </w:rPr>
        <w:t>.</w:t>
      </w:r>
    </w:p>
    <w:p w14:paraId="593EBB41" w14:textId="1004468C" w:rsidR="001408CA" w:rsidRDefault="001408CA" w:rsidP="00B160E7">
      <w:pPr>
        <w:jc w:val="both"/>
        <w:rPr>
          <w:rFonts w:asciiTheme="minorHAnsi" w:hAnsiTheme="minorHAnsi" w:cstheme="minorHAnsi"/>
          <w:sz w:val="22"/>
          <w:szCs w:val="22"/>
        </w:rPr>
      </w:pPr>
    </w:p>
    <w:p w14:paraId="0C44868A" w14:textId="77777777" w:rsidR="00CA37CC" w:rsidRPr="00861A35" w:rsidRDefault="00CA37CC" w:rsidP="00861A35">
      <w:pPr>
        <w:pStyle w:val="Paragraphedeliste"/>
        <w:numPr>
          <w:ilvl w:val="0"/>
          <w:numId w:val="39"/>
        </w:numPr>
        <w:spacing w:after="120" w:line="259" w:lineRule="auto"/>
        <w:jc w:val="both"/>
        <w:outlineLvl w:val="0"/>
        <w:rPr>
          <w:rFonts w:asciiTheme="minorHAnsi" w:eastAsia="MS Mincho" w:hAnsiTheme="minorHAnsi" w:cstheme="minorHAnsi"/>
          <w:b/>
          <w:color w:val="002060"/>
          <w:sz w:val="22"/>
          <w:szCs w:val="22"/>
        </w:rPr>
      </w:pPr>
      <w:r w:rsidRPr="00861A35">
        <w:rPr>
          <w:rFonts w:asciiTheme="minorHAnsi" w:eastAsia="MS Mincho" w:hAnsiTheme="minorHAnsi" w:cstheme="minorHAnsi"/>
          <w:b/>
          <w:color w:val="002060"/>
          <w:sz w:val="22"/>
          <w:szCs w:val="22"/>
        </w:rPr>
        <w:t xml:space="preserve">Avantages </w:t>
      </w:r>
    </w:p>
    <w:p w14:paraId="4ACF6662" w14:textId="6F69FF42" w:rsidR="00AA0BC1" w:rsidRPr="00AA0BC1" w:rsidRDefault="00AA0BC1" w:rsidP="00AA0BC1">
      <w:pPr>
        <w:spacing w:after="120"/>
        <w:jc w:val="both"/>
        <w:rPr>
          <w:rFonts w:asciiTheme="minorHAnsi" w:eastAsiaTheme="minorHAnsi" w:hAnsiTheme="minorHAnsi" w:cstheme="minorHAnsi"/>
          <w:sz w:val="22"/>
          <w:szCs w:val="22"/>
          <w:lang w:eastAsia="en-US"/>
        </w:rPr>
      </w:pPr>
      <w:r w:rsidRPr="00AA0BC1">
        <w:rPr>
          <w:rFonts w:asciiTheme="minorHAnsi" w:eastAsiaTheme="minorHAnsi" w:hAnsiTheme="minorHAnsi" w:cstheme="minorHAnsi"/>
          <w:sz w:val="22"/>
          <w:szCs w:val="22"/>
          <w:u w:val="single"/>
          <w:lang w:eastAsia="en-US"/>
        </w:rPr>
        <w:t>Diversification du patrimoine immobilier</w:t>
      </w:r>
      <w:r w:rsidRPr="00AA0BC1">
        <w:rPr>
          <w:rFonts w:asciiTheme="minorHAnsi" w:eastAsiaTheme="minorHAnsi" w:hAnsiTheme="minorHAnsi" w:cstheme="minorHAnsi"/>
          <w:sz w:val="22"/>
          <w:szCs w:val="22"/>
          <w:lang w:eastAsia="en-US"/>
        </w:rPr>
        <w:t> : Le FPS PPG EDESIA permet d'accéder à un portefeuille diversifié d'actifs immobiliers professionnels,</w:t>
      </w:r>
      <w:r w:rsidR="00D3251C">
        <w:rPr>
          <w:rFonts w:asciiTheme="minorHAnsi" w:eastAsiaTheme="minorHAnsi" w:hAnsiTheme="minorHAnsi" w:cstheme="minorHAnsi"/>
          <w:sz w:val="22"/>
          <w:szCs w:val="22"/>
          <w:lang w:eastAsia="en-US"/>
        </w:rPr>
        <w:t xml:space="preserve"> en</w:t>
      </w:r>
      <w:r w:rsidRPr="00AA0BC1">
        <w:rPr>
          <w:rFonts w:asciiTheme="minorHAnsi" w:eastAsiaTheme="minorHAnsi" w:hAnsiTheme="minorHAnsi" w:cstheme="minorHAnsi"/>
          <w:sz w:val="22"/>
          <w:szCs w:val="22"/>
          <w:lang w:eastAsia="en-US"/>
        </w:rPr>
        <w:t xml:space="preserve"> </w:t>
      </w:r>
      <w:r w:rsidR="00D3251C">
        <w:rPr>
          <w:rFonts w:asciiTheme="minorHAnsi" w:eastAsiaTheme="minorHAnsi" w:hAnsiTheme="minorHAnsi" w:cstheme="minorHAnsi"/>
          <w:sz w:val="22"/>
          <w:szCs w:val="22"/>
          <w:lang w:eastAsia="en-US"/>
        </w:rPr>
        <w:t>privilégiant les actifs</w:t>
      </w:r>
      <w:r w:rsidRPr="00AA0BC1">
        <w:rPr>
          <w:rFonts w:asciiTheme="minorHAnsi" w:eastAsiaTheme="minorHAnsi" w:hAnsiTheme="minorHAnsi" w:cstheme="minorHAnsi"/>
          <w:sz w:val="22"/>
          <w:szCs w:val="22"/>
          <w:lang w:eastAsia="en-US"/>
        </w:rPr>
        <w:t xml:space="preserve"> </w:t>
      </w:r>
      <w:r w:rsidR="00B420A4">
        <w:rPr>
          <w:rFonts w:asciiTheme="minorHAnsi" w:eastAsiaTheme="minorHAnsi" w:hAnsiTheme="minorHAnsi" w:cstheme="minorHAnsi"/>
          <w:sz w:val="22"/>
          <w:szCs w:val="22"/>
          <w:lang w:eastAsia="en-US"/>
        </w:rPr>
        <w:t>liés</w:t>
      </w:r>
      <w:r w:rsidRPr="00AA0BC1">
        <w:rPr>
          <w:rFonts w:asciiTheme="minorHAnsi" w:eastAsiaTheme="minorHAnsi" w:hAnsiTheme="minorHAnsi" w:cstheme="minorHAnsi"/>
          <w:sz w:val="22"/>
          <w:szCs w:val="22"/>
          <w:lang w:eastAsia="en-US"/>
        </w:rPr>
        <w:t xml:space="preserve"> à la thématique de l'alimentation (restauration, surfaces alimentaires, locaux de stockage</w:t>
      </w:r>
      <w:r w:rsidR="00B420A4">
        <w:rPr>
          <w:rFonts w:asciiTheme="minorHAnsi" w:eastAsiaTheme="minorHAnsi" w:hAnsiTheme="minorHAnsi" w:cstheme="minorHAnsi"/>
          <w:sz w:val="22"/>
          <w:szCs w:val="22"/>
          <w:lang w:eastAsia="en-US"/>
        </w:rPr>
        <w:t>…</w:t>
      </w:r>
      <w:r w:rsidRPr="00AA0BC1">
        <w:rPr>
          <w:rFonts w:asciiTheme="minorHAnsi" w:eastAsiaTheme="minorHAnsi" w:hAnsiTheme="minorHAnsi" w:cstheme="minorHAnsi"/>
          <w:sz w:val="22"/>
          <w:szCs w:val="22"/>
          <w:lang w:eastAsia="en-US"/>
        </w:rPr>
        <w:t>).</w:t>
      </w:r>
      <w:r w:rsidR="007245CF" w:rsidRPr="00AA0BC1">
        <w:rPr>
          <w:rFonts w:asciiTheme="minorHAnsi" w:eastAsiaTheme="minorHAnsi" w:hAnsiTheme="minorHAnsi" w:cstheme="minorHAnsi"/>
          <w:sz w:val="22"/>
          <w:szCs w:val="22"/>
          <w:lang w:eastAsia="en-US"/>
        </w:rPr>
        <w:t xml:space="preserve"> </w:t>
      </w:r>
    </w:p>
    <w:p w14:paraId="1197A12F" w14:textId="3C6F68E8" w:rsidR="00AA0BC1" w:rsidRPr="00AA0BC1" w:rsidRDefault="00AA0BC1" w:rsidP="00AA0BC1">
      <w:pPr>
        <w:spacing w:after="120"/>
        <w:jc w:val="both"/>
        <w:rPr>
          <w:rFonts w:asciiTheme="minorHAnsi" w:eastAsiaTheme="minorHAnsi" w:hAnsiTheme="minorHAnsi" w:cstheme="minorHAnsi"/>
          <w:sz w:val="22"/>
          <w:szCs w:val="22"/>
          <w:lang w:eastAsia="en-US"/>
        </w:rPr>
      </w:pPr>
      <w:r w:rsidRPr="00AA0BC1">
        <w:rPr>
          <w:rFonts w:asciiTheme="minorHAnsi" w:eastAsiaTheme="minorHAnsi" w:hAnsiTheme="minorHAnsi" w:cstheme="minorHAnsi"/>
          <w:sz w:val="22"/>
          <w:szCs w:val="22"/>
          <w:u w:val="single"/>
          <w:lang w:eastAsia="en-US"/>
        </w:rPr>
        <w:t>Accès à des opérations habituellement réservées aux professionnels</w:t>
      </w:r>
      <w:r w:rsidRPr="00AA0BC1">
        <w:rPr>
          <w:rFonts w:asciiTheme="minorHAnsi" w:eastAsiaTheme="minorHAnsi" w:hAnsiTheme="minorHAnsi" w:cstheme="minorHAnsi"/>
          <w:sz w:val="22"/>
          <w:szCs w:val="22"/>
          <w:lang w:eastAsia="en-US"/>
        </w:rPr>
        <w:t> : L'investisseur bénéficie indirectement d'opportunités immobilières auxquelles il serait difficile d'accéder individuellement en raison des montants d'investissement requis et de la technicité des opérations.</w:t>
      </w:r>
    </w:p>
    <w:p w14:paraId="010F4AEA" w14:textId="7B827E06" w:rsidR="00AA0BC1" w:rsidRPr="00AA0BC1" w:rsidRDefault="00AA0BC1" w:rsidP="00AA0BC1">
      <w:pPr>
        <w:spacing w:after="120"/>
        <w:jc w:val="both"/>
        <w:rPr>
          <w:rFonts w:asciiTheme="minorHAnsi" w:eastAsiaTheme="minorHAnsi" w:hAnsiTheme="minorHAnsi" w:cstheme="minorHAnsi"/>
          <w:sz w:val="22"/>
          <w:szCs w:val="22"/>
          <w:lang w:eastAsia="en-US"/>
        </w:rPr>
      </w:pPr>
      <w:r w:rsidRPr="00AA0BC1">
        <w:rPr>
          <w:rFonts w:asciiTheme="minorHAnsi" w:eastAsiaTheme="minorHAnsi" w:hAnsiTheme="minorHAnsi" w:cstheme="minorHAnsi"/>
          <w:sz w:val="22"/>
          <w:szCs w:val="22"/>
          <w:u w:val="single"/>
          <w:lang w:eastAsia="en-US"/>
        </w:rPr>
        <w:t>Gestion déléguée à une société de gestion agréée</w:t>
      </w:r>
      <w:r w:rsidRPr="00AA0BC1">
        <w:rPr>
          <w:rFonts w:asciiTheme="minorHAnsi" w:eastAsiaTheme="minorHAnsi" w:hAnsiTheme="minorHAnsi" w:cstheme="minorHAnsi"/>
          <w:sz w:val="22"/>
          <w:szCs w:val="22"/>
          <w:lang w:eastAsia="en-US"/>
        </w:rPr>
        <w:t> : La sélection des investissements, le suivi des actifs, la gestion des risques et les arbitrages sont assurés par Pierre 1</w:t>
      </w:r>
      <w:r w:rsidRPr="004A7C62">
        <w:rPr>
          <w:rFonts w:asciiTheme="minorHAnsi" w:eastAsiaTheme="minorHAnsi" w:hAnsiTheme="minorHAnsi" w:cstheme="minorHAnsi"/>
          <w:sz w:val="22"/>
          <w:szCs w:val="22"/>
          <w:vertAlign w:val="superscript"/>
          <w:lang w:eastAsia="en-US"/>
        </w:rPr>
        <w:t>er</w:t>
      </w:r>
      <w:r w:rsidR="004A7C62">
        <w:rPr>
          <w:rFonts w:asciiTheme="minorHAnsi" w:eastAsiaTheme="minorHAnsi" w:hAnsiTheme="minorHAnsi" w:cstheme="minorHAnsi"/>
          <w:sz w:val="22"/>
          <w:szCs w:val="22"/>
          <w:lang w:eastAsia="en-US"/>
        </w:rPr>
        <w:t xml:space="preserve"> </w:t>
      </w:r>
      <w:r w:rsidRPr="00AA0BC1">
        <w:rPr>
          <w:rFonts w:asciiTheme="minorHAnsi" w:eastAsiaTheme="minorHAnsi" w:hAnsiTheme="minorHAnsi" w:cstheme="minorHAnsi"/>
          <w:sz w:val="22"/>
          <w:szCs w:val="22"/>
          <w:lang w:eastAsia="en-US"/>
        </w:rPr>
        <w:t>Gestion, société de gestion agréée par l'AMF. L'investisseur bénéficie ainsi d'une gestion professionnelle sans avoir à intervenir dans les décisions d'investissement.</w:t>
      </w:r>
    </w:p>
    <w:p w14:paraId="42B9A762" w14:textId="52B63C54" w:rsidR="00AA0BC1" w:rsidRPr="00AA0BC1" w:rsidRDefault="00AA0BC1" w:rsidP="00AA0BC1">
      <w:pPr>
        <w:spacing w:after="120"/>
        <w:jc w:val="both"/>
        <w:rPr>
          <w:rFonts w:asciiTheme="minorHAnsi" w:eastAsiaTheme="minorHAnsi" w:hAnsiTheme="minorHAnsi" w:cstheme="minorHAnsi"/>
          <w:sz w:val="22"/>
          <w:szCs w:val="22"/>
          <w:lang w:eastAsia="en-US"/>
        </w:rPr>
      </w:pPr>
      <w:r w:rsidRPr="00AA0BC1">
        <w:rPr>
          <w:rFonts w:asciiTheme="minorHAnsi" w:eastAsiaTheme="minorHAnsi" w:hAnsiTheme="minorHAnsi" w:cstheme="minorHAnsi"/>
          <w:sz w:val="22"/>
          <w:szCs w:val="22"/>
          <w:u w:val="single"/>
          <w:lang w:eastAsia="en-US"/>
        </w:rPr>
        <w:t>Potentiel de valorisation à long terme</w:t>
      </w:r>
      <w:r w:rsidRPr="00AA0BC1">
        <w:rPr>
          <w:rFonts w:asciiTheme="minorHAnsi" w:eastAsiaTheme="minorHAnsi" w:hAnsiTheme="minorHAnsi" w:cstheme="minorHAnsi"/>
          <w:sz w:val="22"/>
          <w:szCs w:val="22"/>
          <w:lang w:eastAsia="en-US"/>
        </w:rPr>
        <w:t> : Le Fonds vise un objectif de taux de rendement interne cible de 7 % par an net de frais de gestion (hors frais de souscription), sans que cet objectif constitue une garantie de performance.</w:t>
      </w:r>
    </w:p>
    <w:p w14:paraId="6757332A" w14:textId="3AED026F" w:rsidR="00AA0BC1" w:rsidRPr="00AA0BC1" w:rsidRDefault="00AA0BC1" w:rsidP="00AA0BC1">
      <w:pPr>
        <w:spacing w:after="120"/>
        <w:jc w:val="both"/>
        <w:rPr>
          <w:rFonts w:asciiTheme="minorHAnsi" w:eastAsiaTheme="minorHAnsi" w:hAnsiTheme="minorHAnsi" w:cstheme="minorHAnsi"/>
          <w:sz w:val="22"/>
          <w:szCs w:val="22"/>
          <w:lang w:eastAsia="en-US"/>
        </w:rPr>
      </w:pPr>
      <w:r w:rsidRPr="00AA0BC1">
        <w:rPr>
          <w:rFonts w:asciiTheme="minorHAnsi" w:eastAsiaTheme="minorHAnsi" w:hAnsiTheme="minorHAnsi" w:cstheme="minorHAnsi"/>
          <w:sz w:val="22"/>
          <w:szCs w:val="22"/>
          <w:u w:val="single"/>
          <w:lang w:eastAsia="en-US"/>
        </w:rPr>
        <w:t>Cadre réglementaire ELTIF</w:t>
      </w:r>
      <w:r w:rsidRPr="00AA0BC1">
        <w:rPr>
          <w:rFonts w:asciiTheme="minorHAnsi" w:eastAsiaTheme="minorHAnsi" w:hAnsiTheme="minorHAnsi" w:cstheme="minorHAnsi"/>
          <w:sz w:val="22"/>
          <w:szCs w:val="22"/>
          <w:lang w:eastAsia="en-US"/>
        </w:rPr>
        <w:t> : Le Fonds bénéficie de l'agrément ELTIF, qui impose notamment des règles de diversification, de protection des investisseurs et de suivi de la liquidité adaptées aux investissements de long terme.</w:t>
      </w:r>
    </w:p>
    <w:p w14:paraId="49DE7F04" w14:textId="7ADCD02B" w:rsidR="00CA37CC" w:rsidRPr="00861A35" w:rsidRDefault="00CA37CC" w:rsidP="00CA37CC">
      <w:pPr>
        <w:spacing w:after="120"/>
        <w:jc w:val="both"/>
        <w:rPr>
          <w:rFonts w:asciiTheme="minorHAnsi" w:eastAsiaTheme="minorHAnsi" w:hAnsiTheme="minorHAnsi" w:cstheme="minorHAnsi"/>
          <w:sz w:val="22"/>
          <w:szCs w:val="22"/>
          <w:lang w:eastAsia="en-US"/>
        </w:rPr>
      </w:pPr>
      <w:r w:rsidRPr="00E86E1C">
        <w:rPr>
          <w:rFonts w:asciiTheme="minorHAnsi" w:eastAsiaTheme="minorHAnsi" w:hAnsiTheme="minorHAnsi" w:cstheme="minorHAnsi"/>
          <w:sz w:val="22"/>
          <w:szCs w:val="22"/>
          <w:u w:val="single"/>
          <w:lang w:eastAsia="en-US"/>
        </w:rPr>
        <w:t>Accès au levier de la dette bancaire</w:t>
      </w:r>
      <w:r w:rsidRPr="000F58E5">
        <w:rPr>
          <w:rFonts w:asciiTheme="minorHAnsi" w:eastAsiaTheme="minorHAnsi" w:hAnsiTheme="minorHAnsi" w:cstheme="minorHAnsi"/>
          <w:sz w:val="22"/>
          <w:szCs w:val="22"/>
          <w:lang w:eastAsia="en-US"/>
        </w:rPr>
        <w:t xml:space="preserve"> : </w:t>
      </w:r>
      <w:r>
        <w:rPr>
          <w:rFonts w:asciiTheme="minorHAnsi" w:eastAsiaTheme="minorHAnsi" w:hAnsiTheme="minorHAnsi" w:cstheme="minorHAnsi"/>
          <w:sz w:val="22"/>
          <w:szCs w:val="22"/>
          <w:lang w:eastAsia="en-US"/>
        </w:rPr>
        <w:t xml:space="preserve">la souscription de parts </w:t>
      </w:r>
      <w:r w:rsidRPr="000F58E5">
        <w:rPr>
          <w:rFonts w:asciiTheme="minorHAnsi" w:eastAsiaTheme="minorHAnsi" w:hAnsiTheme="minorHAnsi" w:cstheme="minorHAnsi"/>
          <w:sz w:val="22"/>
          <w:szCs w:val="22"/>
          <w:lang w:eastAsia="en-US"/>
        </w:rPr>
        <w:t xml:space="preserve">du fonds </w:t>
      </w:r>
      <w:r>
        <w:rPr>
          <w:rFonts w:asciiTheme="minorHAnsi" w:eastAsiaTheme="minorHAnsi" w:hAnsiTheme="minorHAnsi" w:cstheme="minorHAnsi"/>
          <w:sz w:val="22"/>
          <w:szCs w:val="22"/>
          <w:lang w:eastAsia="en-US"/>
        </w:rPr>
        <w:t xml:space="preserve">PPG </w:t>
      </w:r>
      <w:r w:rsidR="00974AF0">
        <w:rPr>
          <w:rFonts w:asciiTheme="minorHAnsi" w:eastAsiaTheme="minorHAnsi" w:hAnsiTheme="minorHAnsi" w:cstheme="minorHAnsi"/>
          <w:sz w:val="22"/>
          <w:szCs w:val="22"/>
          <w:lang w:eastAsia="en-US"/>
        </w:rPr>
        <w:t>EDESIA</w:t>
      </w:r>
      <w:r w:rsidRPr="000F58E5">
        <w:rPr>
          <w:rFonts w:asciiTheme="minorHAnsi" w:eastAsiaTheme="minorHAnsi" w:hAnsiTheme="minorHAnsi" w:cstheme="minorHAnsi"/>
          <w:sz w:val="22"/>
          <w:szCs w:val="22"/>
          <w:lang w:eastAsia="en-US"/>
        </w:rPr>
        <w:t xml:space="preserve"> permet d’avoir indirectement accès au levier pour accroître la rentabilité de son capital. Un te</w:t>
      </w:r>
      <w:r>
        <w:rPr>
          <w:rFonts w:asciiTheme="minorHAnsi" w:eastAsiaTheme="minorHAnsi" w:hAnsiTheme="minorHAnsi" w:cstheme="minorHAnsi"/>
          <w:sz w:val="22"/>
          <w:szCs w:val="22"/>
          <w:lang w:eastAsia="en-US"/>
        </w:rPr>
        <w:t xml:space="preserve">l levier est </w:t>
      </w:r>
      <w:r w:rsidRPr="000F58E5">
        <w:rPr>
          <w:rFonts w:asciiTheme="minorHAnsi" w:eastAsiaTheme="minorHAnsi" w:hAnsiTheme="minorHAnsi" w:cstheme="minorHAnsi"/>
          <w:sz w:val="22"/>
          <w:szCs w:val="22"/>
          <w:lang w:eastAsia="en-US"/>
        </w:rPr>
        <w:t>possible dans l’immobilier locatif direct</w:t>
      </w:r>
      <w:r>
        <w:rPr>
          <w:rFonts w:asciiTheme="minorHAnsi" w:eastAsiaTheme="minorHAnsi" w:hAnsiTheme="minorHAnsi" w:cstheme="minorHAnsi"/>
          <w:sz w:val="22"/>
          <w:szCs w:val="22"/>
          <w:lang w:eastAsia="en-US"/>
        </w:rPr>
        <w:t xml:space="preserve"> mais</w:t>
      </w:r>
      <w:r w:rsidRPr="000F58E5">
        <w:rPr>
          <w:rFonts w:asciiTheme="minorHAnsi" w:eastAsiaTheme="minorHAnsi" w:hAnsiTheme="minorHAnsi" w:cstheme="minorHAnsi"/>
          <w:sz w:val="22"/>
          <w:szCs w:val="22"/>
          <w:lang w:eastAsia="en-US"/>
        </w:rPr>
        <w:t xml:space="preserve"> entrain</w:t>
      </w:r>
      <w:r>
        <w:rPr>
          <w:rFonts w:asciiTheme="minorHAnsi" w:eastAsiaTheme="minorHAnsi" w:hAnsiTheme="minorHAnsi" w:cstheme="minorHAnsi"/>
          <w:sz w:val="22"/>
          <w:szCs w:val="22"/>
          <w:lang w:eastAsia="en-US"/>
        </w:rPr>
        <w:t xml:space="preserve">e </w:t>
      </w:r>
      <w:r w:rsidRPr="000F58E5">
        <w:rPr>
          <w:rFonts w:asciiTheme="minorHAnsi" w:eastAsiaTheme="minorHAnsi" w:hAnsiTheme="minorHAnsi" w:cstheme="minorHAnsi"/>
          <w:sz w:val="22"/>
          <w:szCs w:val="22"/>
          <w:lang w:eastAsia="en-US"/>
        </w:rPr>
        <w:t>des lourdeurs administratives et l’apport de garanties à titre personnel (caution, nantissement d’actifs financiers). Dans le cas de</w:t>
      </w:r>
      <w:r>
        <w:rPr>
          <w:rFonts w:asciiTheme="minorHAnsi" w:eastAsiaTheme="minorHAnsi" w:hAnsiTheme="minorHAnsi" w:cstheme="minorHAnsi"/>
          <w:sz w:val="22"/>
          <w:szCs w:val="22"/>
          <w:lang w:eastAsia="en-US"/>
        </w:rPr>
        <w:t xml:space="preserve"> PPG </w:t>
      </w:r>
      <w:r w:rsidR="00974AF0">
        <w:rPr>
          <w:rFonts w:asciiTheme="minorHAnsi" w:eastAsiaTheme="minorHAnsi" w:hAnsiTheme="minorHAnsi" w:cstheme="minorHAnsi"/>
          <w:sz w:val="22"/>
          <w:szCs w:val="22"/>
          <w:lang w:eastAsia="en-US"/>
        </w:rPr>
        <w:t>EDESIA</w:t>
      </w:r>
      <w:r w:rsidRPr="000F58E5">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les filiales du</w:t>
      </w:r>
      <w:r w:rsidRPr="000F58E5">
        <w:rPr>
          <w:rFonts w:asciiTheme="minorHAnsi" w:eastAsiaTheme="minorHAnsi" w:hAnsiTheme="minorHAnsi" w:cstheme="minorHAnsi"/>
          <w:sz w:val="22"/>
          <w:szCs w:val="22"/>
          <w:lang w:eastAsia="en-US"/>
        </w:rPr>
        <w:t xml:space="preserve"> fonds contracte</w:t>
      </w:r>
      <w:r>
        <w:rPr>
          <w:rFonts w:asciiTheme="minorHAnsi" w:eastAsiaTheme="minorHAnsi" w:hAnsiTheme="minorHAnsi" w:cstheme="minorHAnsi"/>
          <w:sz w:val="22"/>
          <w:szCs w:val="22"/>
          <w:lang w:eastAsia="en-US"/>
        </w:rPr>
        <w:t>nt</w:t>
      </w:r>
      <w:r w:rsidRPr="000F58E5">
        <w:rPr>
          <w:rFonts w:asciiTheme="minorHAnsi" w:eastAsiaTheme="minorHAnsi" w:hAnsiTheme="minorHAnsi" w:cstheme="minorHAnsi"/>
          <w:sz w:val="22"/>
          <w:szCs w:val="22"/>
          <w:lang w:eastAsia="en-US"/>
        </w:rPr>
        <w:t xml:space="preserve"> le prêt et non l’investisseur.</w:t>
      </w:r>
    </w:p>
    <w:p w14:paraId="77BB886D" w14:textId="77777777" w:rsidR="00CA37CC" w:rsidRPr="00E17C80" w:rsidRDefault="00CA37CC" w:rsidP="00CA37CC">
      <w:pPr>
        <w:spacing w:after="120" w:line="259" w:lineRule="auto"/>
        <w:jc w:val="both"/>
        <w:rPr>
          <w:rFonts w:asciiTheme="minorHAnsi" w:hAnsiTheme="minorHAnsi" w:cstheme="minorHAnsi"/>
          <w:sz w:val="22"/>
          <w:szCs w:val="22"/>
        </w:rPr>
      </w:pPr>
    </w:p>
    <w:p w14:paraId="706DC4D7" w14:textId="00327FDA" w:rsidR="00CA37CC" w:rsidRPr="00E86E1C" w:rsidRDefault="1E5CF907" w:rsidP="46C0F5F1">
      <w:pPr>
        <w:pStyle w:val="Paragraphedeliste"/>
        <w:numPr>
          <w:ilvl w:val="0"/>
          <w:numId w:val="39"/>
        </w:numPr>
        <w:spacing w:after="120" w:line="259" w:lineRule="auto"/>
        <w:jc w:val="both"/>
        <w:outlineLvl w:val="0"/>
        <w:rPr>
          <w:rFonts w:asciiTheme="minorHAnsi" w:eastAsia="MS Mincho" w:hAnsiTheme="minorHAnsi" w:cstheme="minorBidi"/>
          <w:b/>
          <w:bCs/>
          <w:color w:val="002060"/>
          <w:sz w:val="22"/>
          <w:szCs w:val="22"/>
        </w:rPr>
      </w:pPr>
      <w:r w:rsidRPr="46C0F5F1">
        <w:rPr>
          <w:rFonts w:asciiTheme="minorHAnsi" w:eastAsia="MS Mincho" w:hAnsiTheme="minorHAnsi" w:cstheme="minorBidi"/>
          <w:b/>
          <w:bCs/>
          <w:color w:val="002060"/>
          <w:sz w:val="22"/>
          <w:szCs w:val="22"/>
        </w:rPr>
        <w:t>I</w:t>
      </w:r>
      <w:r w:rsidR="00CA37CC" w:rsidRPr="46C0F5F1">
        <w:rPr>
          <w:rFonts w:asciiTheme="minorHAnsi" w:eastAsia="MS Mincho" w:hAnsiTheme="minorHAnsi" w:cstheme="minorBidi"/>
          <w:b/>
          <w:bCs/>
          <w:color w:val="002060"/>
          <w:sz w:val="22"/>
          <w:szCs w:val="22"/>
        </w:rPr>
        <w:t xml:space="preserve">nconvénients </w:t>
      </w:r>
    </w:p>
    <w:p w14:paraId="44F64E82" w14:textId="6C2509D8" w:rsidR="00BE7E58" w:rsidRPr="00006FAA" w:rsidRDefault="00BE7E58" w:rsidP="00BE7E58">
      <w:pPr>
        <w:spacing w:after="120"/>
        <w:jc w:val="both"/>
        <w:rPr>
          <w:rFonts w:asciiTheme="minorHAnsi" w:eastAsiaTheme="minorHAnsi" w:hAnsiTheme="minorHAnsi" w:cstheme="minorHAnsi"/>
          <w:sz w:val="22"/>
          <w:szCs w:val="22"/>
          <w:lang w:eastAsia="en-US"/>
        </w:rPr>
      </w:pPr>
      <w:r w:rsidRPr="00D67390">
        <w:rPr>
          <w:rFonts w:asciiTheme="minorHAnsi" w:eastAsiaTheme="minorHAnsi" w:hAnsiTheme="minorHAnsi" w:cstheme="minorHAnsi"/>
          <w:sz w:val="22"/>
          <w:szCs w:val="22"/>
          <w:u w:val="single"/>
          <w:lang w:eastAsia="en-US"/>
        </w:rPr>
        <w:t>Absence de garantie en capital</w:t>
      </w:r>
      <w:r w:rsidR="006F66F1" w:rsidRPr="00006FAA">
        <w:rPr>
          <w:rFonts w:asciiTheme="minorHAnsi" w:eastAsiaTheme="minorHAnsi" w:hAnsiTheme="minorHAnsi" w:cstheme="minorHAnsi"/>
          <w:sz w:val="22"/>
          <w:szCs w:val="22"/>
          <w:lang w:eastAsia="en-US"/>
        </w:rPr>
        <w:t xml:space="preserve"> : </w:t>
      </w:r>
      <w:r w:rsidRPr="00006FAA">
        <w:rPr>
          <w:rFonts w:asciiTheme="minorHAnsi" w:eastAsiaTheme="minorHAnsi" w:hAnsiTheme="minorHAnsi" w:cstheme="minorHAnsi"/>
          <w:sz w:val="22"/>
          <w:szCs w:val="22"/>
          <w:lang w:eastAsia="en-US"/>
        </w:rPr>
        <w:t xml:space="preserve">L'investissement dans le FPS présente un risque de perte en capital. Le capital investi n'est pas garanti et peut ne pas être restitué, en totalité ou en partie. </w:t>
      </w:r>
    </w:p>
    <w:p w14:paraId="382EA299" w14:textId="3A806EBD" w:rsidR="00BE7E58" w:rsidRPr="00006FAA" w:rsidRDefault="00BE7E58" w:rsidP="00BE7E58">
      <w:pPr>
        <w:spacing w:after="120"/>
        <w:jc w:val="both"/>
        <w:rPr>
          <w:rFonts w:asciiTheme="minorHAnsi" w:eastAsiaTheme="minorHAnsi" w:hAnsiTheme="minorHAnsi" w:cstheme="minorHAnsi"/>
          <w:sz w:val="22"/>
          <w:szCs w:val="22"/>
          <w:lang w:eastAsia="en-US"/>
        </w:rPr>
      </w:pPr>
      <w:r w:rsidRPr="00D67390">
        <w:rPr>
          <w:rFonts w:asciiTheme="minorHAnsi" w:eastAsiaTheme="minorHAnsi" w:hAnsiTheme="minorHAnsi" w:cstheme="minorHAnsi"/>
          <w:sz w:val="22"/>
          <w:szCs w:val="22"/>
          <w:u w:val="single"/>
          <w:lang w:eastAsia="en-US"/>
        </w:rPr>
        <w:t>Horizon d'investissement très long</w:t>
      </w:r>
      <w:r w:rsidR="00006FAA" w:rsidRPr="00006FAA">
        <w:rPr>
          <w:rFonts w:asciiTheme="minorHAnsi" w:eastAsiaTheme="minorHAnsi" w:hAnsiTheme="minorHAnsi" w:cstheme="minorHAnsi"/>
          <w:sz w:val="22"/>
          <w:szCs w:val="22"/>
          <w:lang w:eastAsia="en-US"/>
        </w:rPr>
        <w:t xml:space="preserve"> : </w:t>
      </w:r>
      <w:r w:rsidRPr="00006FAA">
        <w:rPr>
          <w:rFonts w:asciiTheme="minorHAnsi" w:eastAsiaTheme="minorHAnsi" w:hAnsiTheme="minorHAnsi" w:cstheme="minorHAnsi"/>
          <w:sz w:val="22"/>
          <w:szCs w:val="22"/>
          <w:lang w:eastAsia="en-US"/>
        </w:rPr>
        <w:t xml:space="preserve">Le Fonds est conçu pour des investisseurs capables d'immobiliser leur épargne sur une longue durée. La durée de vie du FPS est fixée à 30 ans et la durée minimale de placement recommandée est de 8 ans. </w:t>
      </w:r>
    </w:p>
    <w:p w14:paraId="7020AB75" w14:textId="0C1718AF" w:rsidR="00BE7E58" w:rsidRPr="00006FAA" w:rsidRDefault="00BE7E58" w:rsidP="00BE7E58">
      <w:pPr>
        <w:spacing w:after="120"/>
        <w:jc w:val="both"/>
        <w:rPr>
          <w:rFonts w:asciiTheme="minorHAnsi" w:eastAsiaTheme="minorHAnsi" w:hAnsiTheme="minorHAnsi" w:cstheme="minorHAnsi"/>
          <w:sz w:val="22"/>
          <w:szCs w:val="22"/>
          <w:lang w:eastAsia="en-US"/>
        </w:rPr>
      </w:pPr>
      <w:r w:rsidRPr="00D67390">
        <w:rPr>
          <w:rFonts w:asciiTheme="minorHAnsi" w:eastAsiaTheme="minorHAnsi" w:hAnsiTheme="minorHAnsi" w:cstheme="minorHAnsi"/>
          <w:sz w:val="22"/>
          <w:szCs w:val="22"/>
          <w:u w:val="single"/>
          <w:lang w:eastAsia="en-US"/>
        </w:rPr>
        <w:t>Liquidité limitée</w:t>
      </w:r>
      <w:r w:rsidRPr="00006FAA">
        <w:rPr>
          <w:rFonts w:asciiTheme="minorHAnsi" w:eastAsiaTheme="minorHAnsi" w:hAnsiTheme="minorHAnsi" w:cstheme="minorHAnsi"/>
          <w:sz w:val="22"/>
          <w:szCs w:val="22"/>
          <w:lang w:eastAsia="en-US"/>
        </w:rPr>
        <w:t xml:space="preserve"> : Les parts sont soumises à une période de blocage de cinq ans. Même après cette période, les rachats sont encadrés par des mécanismes de préavis, de plafonnement, de report ou de suspension destinés à préserver l'équilibre du Fonds. </w:t>
      </w:r>
    </w:p>
    <w:p w14:paraId="305EAC94" w14:textId="6D1AB741" w:rsidR="00BE7E58" w:rsidRPr="00006FAA" w:rsidRDefault="00BE7E58" w:rsidP="00BE7E58">
      <w:pPr>
        <w:spacing w:after="120"/>
        <w:jc w:val="both"/>
        <w:rPr>
          <w:rFonts w:asciiTheme="minorHAnsi" w:eastAsiaTheme="minorHAnsi" w:hAnsiTheme="minorHAnsi" w:cstheme="minorHAnsi"/>
          <w:sz w:val="22"/>
          <w:szCs w:val="22"/>
          <w:lang w:eastAsia="en-US"/>
        </w:rPr>
      </w:pPr>
      <w:r w:rsidRPr="00D67390">
        <w:rPr>
          <w:rFonts w:asciiTheme="minorHAnsi" w:eastAsiaTheme="minorHAnsi" w:hAnsiTheme="minorHAnsi" w:cstheme="minorHAnsi"/>
          <w:sz w:val="22"/>
          <w:szCs w:val="22"/>
          <w:u w:val="single"/>
          <w:lang w:eastAsia="en-US"/>
        </w:rPr>
        <w:t>Marché secondaire sans garantie d'exécution</w:t>
      </w:r>
      <w:r w:rsidRPr="00006FAA">
        <w:rPr>
          <w:rFonts w:asciiTheme="minorHAnsi" w:eastAsiaTheme="minorHAnsi" w:hAnsiTheme="minorHAnsi" w:cstheme="minorHAnsi"/>
          <w:sz w:val="22"/>
          <w:szCs w:val="22"/>
          <w:lang w:eastAsia="en-US"/>
        </w:rPr>
        <w:t xml:space="preserve"> : La société de gestion organise un mécanisme d'appariement entre acheteurs et vendeurs, mais l'existence de ce marché secondaire ne garantit ni la possibilité de céder ses parts ni la rapidité de la sortie. </w:t>
      </w:r>
    </w:p>
    <w:p w14:paraId="3B0F7405" w14:textId="34F535F8" w:rsidR="00BE7E58" w:rsidRPr="00006FAA" w:rsidRDefault="00BE7E58" w:rsidP="00BE7E58">
      <w:pPr>
        <w:spacing w:after="120"/>
        <w:jc w:val="both"/>
        <w:rPr>
          <w:rFonts w:asciiTheme="minorHAnsi" w:eastAsiaTheme="minorHAnsi" w:hAnsiTheme="minorHAnsi" w:cstheme="minorHAnsi"/>
          <w:sz w:val="22"/>
          <w:szCs w:val="22"/>
          <w:lang w:eastAsia="en-US"/>
        </w:rPr>
      </w:pPr>
      <w:r w:rsidRPr="00D67390">
        <w:rPr>
          <w:rFonts w:asciiTheme="minorHAnsi" w:eastAsiaTheme="minorHAnsi" w:hAnsiTheme="minorHAnsi" w:cstheme="minorHAnsi"/>
          <w:sz w:val="22"/>
          <w:szCs w:val="22"/>
          <w:u w:val="single"/>
          <w:lang w:eastAsia="en-US"/>
        </w:rPr>
        <w:t>Sensibilité aux évolutions du marché immobilier</w:t>
      </w:r>
      <w:r w:rsidRPr="00006FAA">
        <w:rPr>
          <w:rFonts w:asciiTheme="minorHAnsi" w:eastAsiaTheme="minorHAnsi" w:hAnsiTheme="minorHAnsi" w:cstheme="minorHAnsi"/>
          <w:sz w:val="22"/>
          <w:szCs w:val="22"/>
          <w:lang w:eastAsia="en-US"/>
        </w:rPr>
        <w:t xml:space="preserve"> : La performance du Fonds dépend de l'évolution des marchés immobiliers, du niveau des loyers, de la vacance locative, des conditions économiques et de la valorisation des actifs détenus indirectement par le Fonds. </w:t>
      </w:r>
    </w:p>
    <w:p w14:paraId="5AE2BDE1" w14:textId="6CAEC925" w:rsidR="00BE7E58" w:rsidRPr="00006FAA" w:rsidRDefault="00BE7E58" w:rsidP="00BE7E58">
      <w:pPr>
        <w:spacing w:after="120"/>
        <w:jc w:val="both"/>
        <w:rPr>
          <w:rFonts w:asciiTheme="minorHAnsi" w:eastAsiaTheme="minorHAnsi" w:hAnsiTheme="minorHAnsi" w:cstheme="minorHAnsi"/>
          <w:sz w:val="22"/>
          <w:szCs w:val="22"/>
          <w:lang w:eastAsia="en-US"/>
        </w:rPr>
      </w:pPr>
      <w:r w:rsidRPr="00D67390">
        <w:rPr>
          <w:rFonts w:asciiTheme="minorHAnsi" w:eastAsiaTheme="minorHAnsi" w:hAnsiTheme="minorHAnsi" w:cstheme="minorHAnsi"/>
          <w:sz w:val="22"/>
          <w:szCs w:val="22"/>
          <w:u w:val="single"/>
          <w:lang w:eastAsia="en-US"/>
        </w:rPr>
        <w:t>Effet de levier financier</w:t>
      </w:r>
      <w:r w:rsidRPr="00006FAA">
        <w:rPr>
          <w:rFonts w:asciiTheme="minorHAnsi" w:eastAsiaTheme="minorHAnsi" w:hAnsiTheme="minorHAnsi" w:cstheme="minorHAnsi"/>
          <w:sz w:val="22"/>
          <w:szCs w:val="22"/>
          <w:lang w:eastAsia="en-US"/>
        </w:rPr>
        <w:t xml:space="preserve"> : Le recours à l'endettement peut améliorer la rentabilité des investissements mais augmente également le risque de perte en cas de baisse de la valeur des actifs ou de dégradation des conditions de financement. </w:t>
      </w:r>
    </w:p>
    <w:p w14:paraId="479B4751" w14:textId="50B0075B" w:rsidR="00BE7E58" w:rsidRPr="00006FAA" w:rsidRDefault="00BE7E58" w:rsidP="00BE7E58">
      <w:pPr>
        <w:spacing w:after="120"/>
        <w:jc w:val="both"/>
        <w:rPr>
          <w:rFonts w:asciiTheme="minorHAnsi" w:eastAsiaTheme="minorHAnsi" w:hAnsiTheme="minorHAnsi" w:cstheme="minorHAnsi"/>
          <w:sz w:val="22"/>
          <w:szCs w:val="22"/>
          <w:lang w:eastAsia="en-US"/>
        </w:rPr>
      </w:pPr>
      <w:r w:rsidRPr="00D67390">
        <w:rPr>
          <w:rFonts w:asciiTheme="minorHAnsi" w:eastAsiaTheme="minorHAnsi" w:hAnsiTheme="minorHAnsi" w:cstheme="minorHAnsi"/>
          <w:sz w:val="22"/>
          <w:szCs w:val="22"/>
          <w:u w:val="single"/>
          <w:lang w:eastAsia="en-US"/>
        </w:rPr>
        <w:lastRenderedPageBreak/>
        <w:t>Dépendance à la qualité de gestion</w:t>
      </w:r>
      <w:r w:rsidRPr="00006FAA">
        <w:rPr>
          <w:rFonts w:asciiTheme="minorHAnsi" w:eastAsiaTheme="minorHAnsi" w:hAnsiTheme="minorHAnsi" w:cstheme="minorHAnsi"/>
          <w:sz w:val="22"/>
          <w:szCs w:val="22"/>
          <w:lang w:eastAsia="en-US"/>
        </w:rPr>
        <w:t> : La réussite du Fonds repose en grande partie sur la capacité de la société de gestion à identifier, sélectionner, financer, gérer et céder les investissements dans des conditions favorables.</w:t>
      </w:r>
    </w:p>
    <w:p w14:paraId="63F2B9A3" w14:textId="04E7A196" w:rsidR="00731533" w:rsidRDefault="00731533" w:rsidP="46C0F5F1">
      <w:pPr>
        <w:tabs>
          <w:tab w:val="left" w:pos="284"/>
        </w:tabs>
        <w:jc w:val="both"/>
        <w:rPr>
          <w:rFonts w:asciiTheme="minorHAnsi" w:hAnsiTheme="minorHAnsi" w:cstheme="minorBidi"/>
          <w:sz w:val="22"/>
          <w:szCs w:val="22"/>
          <w:highlight w:val="yellow"/>
        </w:rPr>
      </w:pPr>
    </w:p>
    <w:p w14:paraId="452EB828" w14:textId="77777777" w:rsidR="00B539F7" w:rsidRPr="00E17C80" w:rsidRDefault="00B539F7" w:rsidP="003E578E">
      <w:pPr>
        <w:tabs>
          <w:tab w:val="left" w:pos="284"/>
        </w:tabs>
        <w:jc w:val="both"/>
        <w:rPr>
          <w:rFonts w:asciiTheme="minorHAnsi" w:hAnsiTheme="minorHAnsi" w:cstheme="minorHAnsi"/>
          <w:sz w:val="22"/>
          <w:szCs w:val="22"/>
          <w:highlight w:val="yellow"/>
        </w:rPr>
      </w:pPr>
    </w:p>
    <w:p w14:paraId="5D846EE2" w14:textId="2C5BA701" w:rsidR="004C771C" w:rsidRDefault="002E1100" w:rsidP="000F0042">
      <w:pPr>
        <w:pStyle w:val="Paragraphedeliste"/>
        <w:numPr>
          <w:ilvl w:val="0"/>
          <w:numId w:val="39"/>
        </w:numPr>
        <w:spacing w:after="240" w:line="259" w:lineRule="auto"/>
        <w:jc w:val="both"/>
        <w:rPr>
          <w:rFonts w:asciiTheme="minorHAnsi" w:eastAsia="MS Mincho" w:hAnsiTheme="minorHAnsi" w:cstheme="minorHAnsi"/>
          <w:b/>
          <w:color w:val="002060"/>
          <w:sz w:val="22"/>
          <w:szCs w:val="22"/>
        </w:rPr>
      </w:pPr>
      <w:r w:rsidRPr="000F0042">
        <w:rPr>
          <w:rFonts w:asciiTheme="minorHAnsi" w:eastAsia="MS Mincho" w:hAnsiTheme="minorHAnsi" w:cstheme="minorHAnsi"/>
          <w:b/>
          <w:color w:val="002060"/>
          <w:sz w:val="22"/>
          <w:szCs w:val="22"/>
        </w:rPr>
        <w:t>Les risques afférents à l’investissement</w:t>
      </w:r>
    </w:p>
    <w:p w14:paraId="3C9ECE63" w14:textId="2FB50BFB" w:rsidR="004C771C" w:rsidRPr="00E17C80" w:rsidRDefault="004C771C" w:rsidP="007A38B5">
      <w:pPr>
        <w:jc w:val="both"/>
        <w:rPr>
          <w:rFonts w:asciiTheme="minorHAnsi" w:eastAsiaTheme="minorHAnsi" w:hAnsiTheme="minorHAnsi" w:cstheme="minorHAnsi"/>
          <w:sz w:val="22"/>
          <w:szCs w:val="22"/>
          <w:lang w:eastAsia="en-US"/>
        </w:rPr>
      </w:pPr>
      <w:r w:rsidRPr="00E17C80">
        <w:rPr>
          <w:rFonts w:asciiTheme="minorHAnsi" w:hAnsiTheme="minorHAnsi" w:cstheme="minorHAnsi"/>
          <w:sz w:val="22"/>
          <w:szCs w:val="22"/>
        </w:rPr>
        <w:t>Les risques afférents à l’investissement proposé sont </w:t>
      </w:r>
      <w:r w:rsidR="006F0B59" w:rsidRPr="00E17C80">
        <w:rPr>
          <w:rFonts w:asciiTheme="minorHAnsi" w:hAnsiTheme="minorHAnsi" w:cstheme="minorHAnsi"/>
          <w:sz w:val="22"/>
          <w:szCs w:val="22"/>
        </w:rPr>
        <w:t>résumés ci-après</w:t>
      </w:r>
      <w:r w:rsidR="00BC1AD5" w:rsidRPr="00E17C80">
        <w:rPr>
          <w:rFonts w:asciiTheme="minorHAnsi" w:hAnsiTheme="minorHAnsi" w:cstheme="minorHAnsi"/>
          <w:sz w:val="22"/>
          <w:szCs w:val="22"/>
        </w:rPr>
        <w:t xml:space="preserve"> et détaillés </w:t>
      </w:r>
      <w:r w:rsidR="00BC1AD5" w:rsidRPr="00E17C80">
        <w:rPr>
          <w:rFonts w:asciiTheme="minorHAnsi" w:eastAsiaTheme="minorHAnsi" w:hAnsiTheme="minorHAnsi" w:cstheme="minorHAnsi"/>
          <w:sz w:val="22"/>
          <w:szCs w:val="22"/>
          <w:lang w:eastAsia="en-US"/>
        </w:rPr>
        <w:t xml:space="preserve">aux articles </w:t>
      </w:r>
      <w:r w:rsidR="007A38B5">
        <w:rPr>
          <w:rFonts w:asciiTheme="minorHAnsi" w:eastAsiaTheme="minorHAnsi" w:hAnsiTheme="minorHAnsi" w:cstheme="minorHAnsi"/>
          <w:sz w:val="22"/>
          <w:szCs w:val="22"/>
          <w:lang w:eastAsia="en-US"/>
        </w:rPr>
        <w:t>3</w:t>
      </w:r>
      <w:r w:rsidR="00BC1AD5" w:rsidRPr="00E17C80">
        <w:rPr>
          <w:rFonts w:asciiTheme="minorHAnsi" w:eastAsiaTheme="minorHAnsi" w:hAnsiTheme="minorHAnsi" w:cstheme="minorHAnsi"/>
          <w:sz w:val="22"/>
          <w:szCs w:val="22"/>
          <w:lang w:eastAsia="en-US"/>
        </w:rPr>
        <w:t>.</w:t>
      </w:r>
      <w:r w:rsidR="007A38B5">
        <w:rPr>
          <w:rFonts w:asciiTheme="minorHAnsi" w:eastAsiaTheme="minorHAnsi" w:hAnsiTheme="minorHAnsi" w:cstheme="minorHAnsi"/>
          <w:sz w:val="22"/>
          <w:szCs w:val="22"/>
          <w:lang w:eastAsia="en-US"/>
        </w:rPr>
        <w:t xml:space="preserve">17 </w:t>
      </w:r>
      <w:r w:rsidR="00BC1AD5" w:rsidRPr="00E17C80">
        <w:rPr>
          <w:rFonts w:asciiTheme="minorHAnsi" w:eastAsiaTheme="minorHAnsi" w:hAnsiTheme="minorHAnsi" w:cstheme="minorHAnsi"/>
          <w:sz w:val="22"/>
          <w:szCs w:val="22"/>
          <w:lang w:eastAsia="en-US"/>
        </w:rPr>
        <w:t xml:space="preserve">du Prospectus : </w:t>
      </w:r>
    </w:p>
    <w:p w14:paraId="3360703A" w14:textId="77777777" w:rsidR="004C771C" w:rsidRDefault="004C771C" w:rsidP="004C771C">
      <w:pPr>
        <w:spacing w:after="120" w:line="259" w:lineRule="auto"/>
        <w:jc w:val="both"/>
        <w:rPr>
          <w:rFonts w:asciiTheme="minorHAnsi" w:eastAsia="MS Mincho" w:hAnsiTheme="minorHAnsi" w:cstheme="minorHAnsi"/>
          <w:b/>
          <w:color w:val="002060"/>
          <w:sz w:val="22"/>
          <w:szCs w:val="22"/>
        </w:rPr>
      </w:pPr>
    </w:p>
    <w:p w14:paraId="10189423" w14:textId="2E157D1D" w:rsidR="00B67B4C" w:rsidRDefault="00B67B4C" w:rsidP="00B67B4C">
      <w:pPr>
        <w:jc w:val="both"/>
        <w:rPr>
          <w:rFonts w:asciiTheme="minorHAnsi" w:eastAsiaTheme="minorHAnsi" w:hAnsiTheme="minorHAnsi" w:cstheme="minorHAnsi"/>
          <w:sz w:val="22"/>
          <w:szCs w:val="22"/>
          <w:lang w:eastAsia="en-US"/>
        </w:rPr>
      </w:pPr>
      <w:r w:rsidRPr="00780246">
        <w:rPr>
          <w:rFonts w:asciiTheme="minorHAnsi" w:eastAsiaTheme="minorHAnsi" w:hAnsiTheme="minorHAnsi" w:cstheme="minorHAnsi"/>
          <w:sz w:val="22"/>
          <w:szCs w:val="22"/>
          <w:u w:val="single"/>
          <w:lang w:eastAsia="en-US"/>
        </w:rPr>
        <w:t>Risque de perte en capital</w:t>
      </w:r>
      <w:r w:rsidR="00780246">
        <w:rPr>
          <w:rFonts w:asciiTheme="minorHAnsi" w:eastAsiaTheme="minorHAnsi" w:hAnsiTheme="minorHAnsi" w:cstheme="minorHAnsi"/>
          <w:sz w:val="22"/>
          <w:szCs w:val="22"/>
          <w:u w:val="single"/>
          <w:lang w:eastAsia="en-US"/>
        </w:rPr>
        <w:t xml:space="preserve"> : </w:t>
      </w:r>
      <w:r w:rsidRPr="00B67B4C">
        <w:rPr>
          <w:rFonts w:asciiTheme="minorHAnsi" w:eastAsiaTheme="minorHAnsi" w:hAnsiTheme="minorHAnsi" w:cstheme="minorHAnsi"/>
          <w:sz w:val="22"/>
          <w:szCs w:val="22"/>
          <w:lang w:eastAsia="en-US"/>
        </w:rPr>
        <w:t xml:space="preserve">Le FPS ne bénéficie d'aucune garantie en capital. La valeur des investissements réalisés peut évoluer à la hausse comme à la baisse en fonction des conditions de marché et des performances des actifs détenus. L'investisseur peut donc récupérer un montant inférieur à son investissement initial, voire perdre la totalité des sommes investies. </w:t>
      </w:r>
    </w:p>
    <w:p w14:paraId="4D2800F6" w14:textId="77777777" w:rsidR="00780246" w:rsidRPr="00B67B4C" w:rsidRDefault="00780246" w:rsidP="00B67B4C">
      <w:pPr>
        <w:jc w:val="both"/>
        <w:rPr>
          <w:rFonts w:asciiTheme="minorHAnsi" w:eastAsiaTheme="minorHAnsi" w:hAnsiTheme="minorHAnsi" w:cstheme="minorHAnsi"/>
          <w:sz w:val="22"/>
          <w:szCs w:val="22"/>
          <w:lang w:eastAsia="en-US"/>
        </w:rPr>
      </w:pPr>
    </w:p>
    <w:p w14:paraId="5211E512" w14:textId="6CC3C621" w:rsidR="00B67B4C" w:rsidRDefault="00B67B4C" w:rsidP="00B67B4C">
      <w:pPr>
        <w:jc w:val="both"/>
        <w:rPr>
          <w:rFonts w:asciiTheme="minorHAnsi" w:eastAsiaTheme="minorHAnsi" w:hAnsiTheme="minorHAnsi" w:cstheme="minorHAnsi"/>
          <w:sz w:val="22"/>
          <w:szCs w:val="22"/>
          <w:lang w:eastAsia="en-US"/>
        </w:rPr>
      </w:pPr>
      <w:r w:rsidRPr="00780246">
        <w:rPr>
          <w:rFonts w:asciiTheme="minorHAnsi" w:eastAsiaTheme="minorHAnsi" w:hAnsiTheme="minorHAnsi" w:cstheme="minorHAnsi"/>
          <w:sz w:val="22"/>
          <w:szCs w:val="22"/>
          <w:u w:val="single"/>
          <w:lang w:eastAsia="en-US"/>
        </w:rPr>
        <w:t>Risque de liquidité</w:t>
      </w:r>
      <w:r w:rsidR="00780246">
        <w:rPr>
          <w:rFonts w:asciiTheme="minorHAnsi" w:eastAsiaTheme="minorHAnsi" w:hAnsiTheme="minorHAnsi" w:cstheme="minorHAnsi"/>
          <w:sz w:val="22"/>
          <w:szCs w:val="22"/>
          <w:lang w:eastAsia="en-US"/>
        </w:rPr>
        <w:t xml:space="preserve"> : </w:t>
      </w:r>
      <w:r w:rsidRPr="00B67B4C">
        <w:rPr>
          <w:rFonts w:asciiTheme="minorHAnsi" w:eastAsiaTheme="minorHAnsi" w:hAnsiTheme="minorHAnsi" w:cstheme="minorHAnsi"/>
          <w:sz w:val="22"/>
          <w:szCs w:val="22"/>
          <w:lang w:eastAsia="en-US"/>
        </w:rPr>
        <w:t xml:space="preserve">Le Fonds investit principalement dans des actifs immobiliers dont la cession peut nécessiter des délais importants. En conséquence, la revente des parts ou leur rachat par le Fonds peut être retardée. Les mécanismes de plafonnement, de report ou de suspension des rachats prévus par le prospectus peuvent limiter temporairement la possibilité de récupérer les capitaux investis. </w:t>
      </w:r>
    </w:p>
    <w:p w14:paraId="416CC083" w14:textId="77777777" w:rsidR="00780246" w:rsidRPr="00B67B4C" w:rsidRDefault="00780246" w:rsidP="00B67B4C">
      <w:pPr>
        <w:jc w:val="both"/>
        <w:rPr>
          <w:rFonts w:asciiTheme="minorHAnsi" w:eastAsiaTheme="minorHAnsi" w:hAnsiTheme="minorHAnsi" w:cstheme="minorHAnsi"/>
          <w:sz w:val="22"/>
          <w:szCs w:val="22"/>
          <w:lang w:eastAsia="en-US"/>
        </w:rPr>
      </w:pPr>
    </w:p>
    <w:p w14:paraId="4F43EDBF" w14:textId="77777777" w:rsidR="00780246" w:rsidRDefault="00B67B4C" w:rsidP="00B67B4C">
      <w:pPr>
        <w:jc w:val="both"/>
        <w:rPr>
          <w:rFonts w:asciiTheme="minorHAnsi" w:eastAsiaTheme="minorHAnsi" w:hAnsiTheme="minorHAnsi" w:cstheme="minorHAnsi"/>
          <w:sz w:val="22"/>
          <w:szCs w:val="22"/>
          <w:lang w:eastAsia="en-US"/>
        </w:rPr>
      </w:pPr>
      <w:r w:rsidRPr="00780246">
        <w:rPr>
          <w:rFonts w:asciiTheme="minorHAnsi" w:eastAsiaTheme="minorHAnsi" w:hAnsiTheme="minorHAnsi" w:cstheme="minorHAnsi"/>
          <w:sz w:val="22"/>
          <w:szCs w:val="22"/>
          <w:u w:val="single"/>
          <w:lang w:eastAsia="en-US"/>
        </w:rPr>
        <w:t>Risque lié à la gestion discrétionnaire</w:t>
      </w:r>
      <w:r w:rsidR="00780246">
        <w:rPr>
          <w:rFonts w:asciiTheme="minorHAnsi" w:eastAsiaTheme="minorHAnsi" w:hAnsiTheme="minorHAnsi" w:cstheme="minorHAnsi"/>
          <w:sz w:val="22"/>
          <w:szCs w:val="22"/>
          <w:lang w:eastAsia="en-US"/>
        </w:rPr>
        <w:t xml:space="preserve"> : </w:t>
      </w:r>
      <w:r w:rsidRPr="00B67B4C">
        <w:rPr>
          <w:rFonts w:asciiTheme="minorHAnsi" w:eastAsiaTheme="minorHAnsi" w:hAnsiTheme="minorHAnsi" w:cstheme="minorHAnsi"/>
          <w:sz w:val="22"/>
          <w:szCs w:val="22"/>
          <w:lang w:eastAsia="en-US"/>
        </w:rPr>
        <w:t xml:space="preserve">La performance du Fonds dépend des choix d'investissement réalisés par la société de gestion. Les anticipations de marché, les stratégies mises en œuvre ou la sélection des actifs peuvent ne pas produire les résultats attendus, ce qui peut entraîner une performance inférieure aux objectifs de gestion. </w:t>
      </w:r>
      <w:hyperlink r:id="rId11" w:history="1"/>
    </w:p>
    <w:p w14:paraId="4208687E" w14:textId="303A7FC1" w:rsidR="00B67B4C" w:rsidRPr="00B67B4C" w:rsidRDefault="00780246" w:rsidP="00B67B4C">
      <w:pPr>
        <w:jc w:val="both"/>
        <w:rPr>
          <w:rFonts w:asciiTheme="minorHAnsi" w:eastAsiaTheme="minorHAnsi" w:hAnsiTheme="minorHAnsi" w:cstheme="minorHAnsi"/>
          <w:sz w:val="22"/>
          <w:szCs w:val="22"/>
          <w:lang w:eastAsia="en-US"/>
        </w:rPr>
      </w:pPr>
      <w:r w:rsidRPr="00B67B4C">
        <w:rPr>
          <w:rFonts w:asciiTheme="minorHAnsi" w:eastAsiaTheme="minorHAnsi" w:hAnsiTheme="minorHAnsi" w:cstheme="minorHAnsi"/>
          <w:sz w:val="22"/>
          <w:szCs w:val="22"/>
          <w:lang w:eastAsia="en-US"/>
        </w:rPr>
        <w:t xml:space="preserve"> </w:t>
      </w:r>
    </w:p>
    <w:p w14:paraId="520B217B" w14:textId="10A8A62F" w:rsidR="00B67B4C" w:rsidRDefault="00B67B4C" w:rsidP="00B67B4C">
      <w:pPr>
        <w:jc w:val="both"/>
        <w:rPr>
          <w:rFonts w:asciiTheme="minorHAnsi" w:eastAsiaTheme="minorHAnsi" w:hAnsiTheme="minorHAnsi" w:cstheme="minorHAnsi"/>
          <w:sz w:val="22"/>
          <w:szCs w:val="22"/>
          <w:lang w:eastAsia="en-US"/>
        </w:rPr>
      </w:pPr>
      <w:r w:rsidRPr="00780246">
        <w:rPr>
          <w:rFonts w:asciiTheme="minorHAnsi" w:eastAsiaTheme="minorHAnsi" w:hAnsiTheme="minorHAnsi" w:cstheme="minorHAnsi"/>
          <w:sz w:val="22"/>
          <w:szCs w:val="22"/>
          <w:u w:val="single"/>
          <w:lang w:eastAsia="en-US"/>
        </w:rPr>
        <w:t>Risque lié à l'effet de levier</w:t>
      </w:r>
      <w:r w:rsidR="00780246">
        <w:rPr>
          <w:rFonts w:asciiTheme="minorHAnsi" w:eastAsiaTheme="minorHAnsi" w:hAnsiTheme="minorHAnsi" w:cstheme="minorHAnsi"/>
          <w:sz w:val="22"/>
          <w:szCs w:val="22"/>
          <w:u w:val="single"/>
          <w:lang w:eastAsia="en-US"/>
        </w:rPr>
        <w:t xml:space="preserve"> : </w:t>
      </w:r>
      <w:r w:rsidRPr="00B67B4C">
        <w:rPr>
          <w:rFonts w:asciiTheme="minorHAnsi" w:eastAsiaTheme="minorHAnsi" w:hAnsiTheme="minorHAnsi" w:cstheme="minorHAnsi"/>
          <w:sz w:val="22"/>
          <w:szCs w:val="22"/>
          <w:lang w:eastAsia="en-US"/>
        </w:rPr>
        <w:t xml:space="preserve">Le Fonds peut recourir à l'endettement afin de financer une partie de ses investissements. Si l'effet de levier peut améliorer le rendement potentiel, il augmente également les pertes potentielles en cas de baisse de la valeur des actifs ou de dégradation des conditions de financement. </w:t>
      </w:r>
    </w:p>
    <w:p w14:paraId="4EB42354" w14:textId="77777777" w:rsidR="00780246" w:rsidRPr="00B67B4C" w:rsidRDefault="00780246" w:rsidP="00B67B4C">
      <w:pPr>
        <w:jc w:val="both"/>
        <w:rPr>
          <w:rFonts w:asciiTheme="minorHAnsi" w:eastAsiaTheme="minorHAnsi" w:hAnsiTheme="minorHAnsi" w:cstheme="minorHAnsi"/>
          <w:sz w:val="22"/>
          <w:szCs w:val="22"/>
          <w:lang w:eastAsia="en-US"/>
        </w:rPr>
      </w:pPr>
    </w:p>
    <w:p w14:paraId="71CFAFAE" w14:textId="77777777" w:rsidR="00780246" w:rsidRDefault="00B67B4C" w:rsidP="00B67B4C">
      <w:pPr>
        <w:jc w:val="both"/>
        <w:rPr>
          <w:rFonts w:asciiTheme="minorHAnsi" w:eastAsiaTheme="minorHAnsi" w:hAnsiTheme="minorHAnsi" w:cstheme="minorHAnsi"/>
          <w:sz w:val="22"/>
          <w:szCs w:val="22"/>
          <w:lang w:eastAsia="en-US"/>
        </w:rPr>
      </w:pPr>
      <w:r w:rsidRPr="00780246">
        <w:rPr>
          <w:rFonts w:asciiTheme="minorHAnsi" w:eastAsiaTheme="minorHAnsi" w:hAnsiTheme="minorHAnsi" w:cstheme="minorHAnsi"/>
          <w:sz w:val="22"/>
          <w:szCs w:val="22"/>
          <w:u w:val="single"/>
          <w:lang w:eastAsia="en-US"/>
        </w:rPr>
        <w:t>Risque lié au marché immobilier</w:t>
      </w:r>
      <w:r w:rsidR="00780246">
        <w:rPr>
          <w:rFonts w:asciiTheme="minorHAnsi" w:eastAsiaTheme="minorHAnsi" w:hAnsiTheme="minorHAnsi" w:cstheme="minorHAnsi"/>
          <w:sz w:val="22"/>
          <w:szCs w:val="22"/>
          <w:lang w:eastAsia="en-US"/>
        </w:rPr>
        <w:t xml:space="preserve"> : </w:t>
      </w:r>
      <w:r w:rsidRPr="00B67B4C">
        <w:rPr>
          <w:rFonts w:asciiTheme="minorHAnsi" w:eastAsiaTheme="minorHAnsi" w:hAnsiTheme="minorHAnsi" w:cstheme="minorHAnsi"/>
          <w:sz w:val="22"/>
          <w:szCs w:val="22"/>
          <w:lang w:eastAsia="en-US"/>
        </w:rPr>
        <w:t>La valeur des actifs immobiliers est directement influencée par les conditions économiques, l'évolution des loyers, les taux de vacance, les taux de capitalisation et l'état général du marché immobilier. Une baisse de la valeur des immeubles détenus indirectement par le Fonds peut entraîner une diminution de la valeur liquidative des parts.</w:t>
      </w:r>
    </w:p>
    <w:p w14:paraId="5C44EBF8" w14:textId="27D00154" w:rsidR="00B67B4C" w:rsidRPr="00B67B4C" w:rsidRDefault="00780246" w:rsidP="00B67B4C">
      <w:pPr>
        <w:jc w:val="both"/>
        <w:rPr>
          <w:rFonts w:asciiTheme="minorHAnsi" w:eastAsiaTheme="minorHAnsi" w:hAnsiTheme="minorHAnsi" w:cstheme="minorHAnsi"/>
          <w:sz w:val="22"/>
          <w:szCs w:val="22"/>
          <w:lang w:eastAsia="en-US"/>
        </w:rPr>
      </w:pPr>
      <w:r w:rsidRPr="00B67B4C">
        <w:rPr>
          <w:rFonts w:asciiTheme="minorHAnsi" w:eastAsiaTheme="minorHAnsi" w:hAnsiTheme="minorHAnsi" w:cstheme="minorHAnsi"/>
          <w:sz w:val="22"/>
          <w:szCs w:val="22"/>
          <w:lang w:eastAsia="en-US"/>
        </w:rPr>
        <w:t xml:space="preserve"> </w:t>
      </w:r>
    </w:p>
    <w:p w14:paraId="692B2391" w14:textId="77777777" w:rsidR="00DE7327" w:rsidRDefault="00B67B4C" w:rsidP="00B67B4C">
      <w:pPr>
        <w:jc w:val="both"/>
        <w:rPr>
          <w:rFonts w:asciiTheme="minorHAnsi" w:eastAsiaTheme="minorHAnsi" w:hAnsiTheme="minorHAnsi" w:cstheme="minorHAnsi"/>
          <w:sz w:val="22"/>
          <w:szCs w:val="22"/>
          <w:lang w:eastAsia="en-US"/>
        </w:rPr>
      </w:pPr>
      <w:r w:rsidRPr="00780246">
        <w:rPr>
          <w:rFonts w:asciiTheme="minorHAnsi" w:eastAsiaTheme="minorHAnsi" w:hAnsiTheme="minorHAnsi" w:cstheme="minorHAnsi"/>
          <w:sz w:val="22"/>
          <w:szCs w:val="22"/>
          <w:u w:val="single"/>
          <w:lang w:eastAsia="en-US"/>
        </w:rPr>
        <w:t>Risque lié à la qualité de gestion</w:t>
      </w:r>
      <w:r w:rsidR="00780246">
        <w:rPr>
          <w:rFonts w:asciiTheme="minorHAnsi" w:eastAsiaTheme="minorHAnsi" w:hAnsiTheme="minorHAnsi" w:cstheme="minorHAnsi"/>
          <w:sz w:val="22"/>
          <w:szCs w:val="22"/>
          <w:lang w:eastAsia="en-US"/>
        </w:rPr>
        <w:t xml:space="preserve"> : </w:t>
      </w:r>
      <w:r w:rsidRPr="00B67B4C">
        <w:rPr>
          <w:rFonts w:asciiTheme="minorHAnsi" w:eastAsiaTheme="minorHAnsi" w:hAnsiTheme="minorHAnsi" w:cstheme="minorHAnsi"/>
          <w:sz w:val="22"/>
          <w:szCs w:val="22"/>
          <w:lang w:eastAsia="en-US"/>
        </w:rPr>
        <w:t xml:space="preserve">La réussite de la stratégie d'investissement repose en grande partie sur l'expertise de la société de gestion dans l'identification, l'acquisition, la gestion et la cession des actifs. Une mauvaise appréciation des opportunités d'investissement ou un départ de personnes clés pourrait affecter la performance du Fonds. </w:t>
      </w:r>
    </w:p>
    <w:p w14:paraId="147CD910" w14:textId="6DC63D50" w:rsidR="00B67B4C" w:rsidRPr="00B67B4C" w:rsidRDefault="00B67B4C" w:rsidP="00B67B4C">
      <w:pPr>
        <w:jc w:val="both"/>
        <w:rPr>
          <w:rFonts w:asciiTheme="minorHAnsi" w:eastAsiaTheme="minorHAnsi" w:hAnsiTheme="minorHAnsi" w:cstheme="minorHAnsi"/>
          <w:sz w:val="22"/>
          <w:szCs w:val="22"/>
          <w:lang w:eastAsia="en-US"/>
        </w:rPr>
      </w:pPr>
      <w:hyperlink r:id="rId12" w:history="1"/>
    </w:p>
    <w:p w14:paraId="59B5B9D3" w14:textId="601F64FE" w:rsidR="00B67B4C" w:rsidRDefault="00B67B4C" w:rsidP="00B67B4C">
      <w:pPr>
        <w:jc w:val="both"/>
        <w:rPr>
          <w:rFonts w:asciiTheme="minorHAnsi" w:eastAsiaTheme="minorHAnsi" w:hAnsiTheme="minorHAnsi" w:cstheme="minorHAnsi"/>
          <w:sz w:val="22"/>
          <w:szCs w:val="22"/>
          <w:lang w:eastAsia="en-US"/>
        </w:rPr>
      </w:pPr>
      <w:r w:rsidRPr="00780246">
        <w:rPr>
          <w:rFonts w:asciiTheme="minorHAnsi" w:eastAsiaTheme="minorHAnsi" w:hAnsiTheme="minorHAnsi" w:cstheme="minorHAnsi"/>
          <w:sz w:val="22"/>
          <w:szCs w:val="22"/>
          <w:u w:val="single"/>
          <w:lang w:eastAsia="en-US"/>
        </w:rPr>
        <w:t>Risque fiscal</w:t>
      </w:r>
      <w:r w:rsidR="00780246">
        <w:rPr>
          <w:rFonts w:asciiTheme="minorHAnsi" w:eastAsiaTheme="minorHAnsi" w:hAnsiTheme="minorHAnsi" w:cstheme="minorHAnsi"/>
          <w:sz w:val="22"/>
          <w:szCs w:val="22"/>
          <w:lang w:eastAsia="en-US"/>
        </w:rPr>
        <w:t xml:space="preserve"> : </w:t>
      </w:r>
      <w:r w:rsidRPr="00B67B4C">
        <w:rPr>
          <w:rFonts w:asciiTheme="minorHAnsi" w:eastAsiaTheme="minorHAnsi" w:hAnsiTheme="minorHAnsi" w:cstheme="minorHAnsi"/>
          <w:sz w:val="22"/>
          <w:szCs w:val="22"/>
          <w:lang w:eastAsia="en-US"/>
        </w:rPr>
        <w:t xml:space="preserve">Les évolutions de la réglementation fiscale ou de son interprétation peuvent avoir un impact défavorable sur les investissements réalisés par le Fonds ou sur la situation fiscale personnelle des investisseurs. Ces changements pourraient affecter le rendement net de l'investissement. </w:t>
      </w:r>
    </w:p>
    <w:p w14:paraId="4CDCAF2C" w14:textId="77777777" w:rsidR="00780246" w:rsidRPr="00B67B4C" w:rsidRDefault="00780246" w:rsidP="00B67B4C">
      <w:pPr>
        <w:jc w:val="both"/>
        <w:rPr>
          <w:rFonts w:asciiTheme="minorHAnsi" w:eastAsiaTheme="minorHAnsi" w:hAnsiTheme="minorHAnsi" w:cstheme="minorHAnsi"/>
          <w:sz w:val="22"/>
          <w:szCs w:val="22"/>
          <w:lang w:eastAsia="en-US"/>
        </w:rPr>
      </w:pPr>
    </w:p>
    <w:p w14:paraId="210EEE16" w14:textId="77777777" w:rsidR="00780246" w:rsidRDefault="00B67B4C" w:rsidP="00B67B4C">
      <w:pPr>
        <w:jc w:val="both"/>
        <w:rPr>
          <w:rFonts w:asciiTheme="minorHAnsi" w:eastAsiaTheme="minorHAnsi" w:hAnsiTheme="minorHAnsi" w:cstheme="minorHAnsi"/>
          <w:sz w:val="22"/>
          <w:szCs w:val="22"/>
          <w:lang w:eastAsia="en-US"/>
        </w:rPr>
      </w:pPr>
      <w:r w:rsidRPr="00780246">
        <w:rPr>
          <w:rFonts w:asciiTheme="minorHAnsi" w:eastAsiaTheme="minorHAnsi" w:hAnsiTheme="minorHAnsi" w:cstheme="minorHAnsi"/>
          <w:sz w:val="22"/>
          <w:szCs w:val="22"/>
          <w:u w:val="single"/>
          <w:lang w:eastAsia="en-US"/>
        </w:rPr>
        <w:t>Risque de taux</w:t>
      </w:r>
      <w:r w:rsidR="00780246">
        <w:rPr>
          <w:rFonts w:asciiTheme="minorHAnsi" w:eastAsiaTheme="minorHAnsi" w:hAnsiTheme="minorHAnsi" w:cstheme="minorHAnsi"/>
          <w:sz w:val="22"/>
          <w:szCs w:val="22"/>
          <w:lang w:eastAsia="en-US"/>
        </w:rPr>
        <w:t xml:space="preserve"> : </w:t>
      </w:r>
      <w:r w:rsidRPr="00B67B4C">
        <w:rPr>
          <w:rFonts w:asciiTheme="minorHAnsi" w:eastAsiaTheme="minorHAnsi" w:hAnsiTheme="minorHAnsi" w:cstheme="minorHAnsi"/>
          <w:sz w:val="22"/>
          <w:szCs w:val="22"/>
          <w:lang w:eastAsia="en-US"/>
        </w:rPr>
        <w:t>Le Fonds peut être exposé aux variations des taux d'intérêt. Une hausse des taux peut augmenter le coût de l'endettement utilisé pour financer les investissements et réduire la valeur de certains actifs financiers détenus par le Fonds, avec un impact potentiel sur sa performance.</w:t>
      </w:r>
    </w:p>
    <w:p w14:paraId="371DACA2" w14:textId="521F97C9" w:rsidR="00B67B4C" w:rsidRPr="00B67B4C" w:rsidRDefault="00780246" w:rsidP="00B67B4C">
      <w:pPr>
        <w:jc w:val="both"/>
        <w:rPr>
          <w:rFonts w:asciiTheme="minorHAnsi" w:eastAsiaTheme="minorHAnsi" w:hAnsiTheme="minorHAnsi" w:cstheme="minorHAnsi"/>
          <w:sz w:val="22"/>
          <w:szCs w:val="22"/>
          <w:lang w:eastAsia="en-US"/>
        </w:rPr>
      </w:pPr>
      <w:r w:rsidRPr="00B67B4C">
        <w:rPr>
          <w:rFonts w:asciiTheme="minorHAnsi" w:eastAsiaTheme="minorHAnsi" w:hAnsiTheme="minorHAnsi" w:cstheme="minorHAnsi"/>
          <w:sz w:val="22"/>
          <w:szCs w:val="22"/>
          <w:lang w:eastAsia="en-US"/>
        </w:rPr>
        <w:t xml:space="preserve"> </w:t>
      </w:r>
    </w:p>
    <w:p w14:paraId="7A2820F0" w14:textId="00DE80D7" w:rsidR="00B67B4C" w:rsidRDefault="00B67B4C" w:rsidP="00B67B4C">
      <w:pPr>
        <w:jc w:val="both"/>
        <w:rPr>
          <w:rFonts w:asciiTheme="minorHAnsi" w:eastAsiaTheme="minorHAnsi" w:hAnsiTheme="minorHAnsi" w:cstheme="minorHAnsi"/>
          <w:sz w:val="22"/>
          <w:szCs w:val="22"/>
          <w:lang w:eastAsia="en-US"/>
        </w:rPr>
      </w:pPr>
      <w:r w:rsidRPr="00780246">
        <w:rPr>
          <w:rFonts w:asciiTheme="minorHAnsi" w:eastAsiaTheme="minorHAnsi" w:hAnsiTheme="minorHAnsi" w:cstheme="minorHAnsi"/>
          <w:sz w:val="22"/>
          <w:szCs w:val="22"/>
          <w:u w:val="single"/>
          <w:lang w:eastAsia="en-US"/>
        </w:rPr>
        <w:t>Risque de contrepartie</w:t>
      </w:r>
      <w:r w:rsidR="00780246">
        <w:rPr>
          <w:rFonts w:asciiTheme="minorHAnsi" w:eastAsiaTheme="minorHAnsi" w:hAnsiTheme="minorHAnsi" w:cstheme="minorHAnsi"/>
          <w:sz w:val="22"/>
          <w:szCs w:val="22"/>
          <w:u w:val="single"/>
          <w:lang w:eastAsia="en-US"/>
        </w:rPr>
        <w:t xml:space="preserve"> : </w:t>
      </w:r>
      <w:r w:rsidRPr="00B67B4C">
        <w:rPr>
          <w:rFonts w:asciiTheme="minorHAnsi" w:eastAsiaTheme="minorHAnsi" w:hAnsiTheme="minorHAnsi" w:cstheme="minorHAnsi"/>
          <w:sz w:val="22"/>
          <w:szCs w:val="22"/>
          <w:lang w:eastAsia="en-US"/>
        </w:rPr>
        <w:t xml:space="preserve">Le risque de contrepartie correspond au risque de défaillance d'un locataire, d'un partenaire financier ou d'un autre intervenant dans les opérations du Fonds. Une incapacité de ces acteurs à </w:t>
      </w:r>
      <w:r w:rsidRPr="00B67B4C">
        <w:rPr>
          <w:rFonts w:asciiTheme="minorHAnsi" w:eastAsiaTheme="minorHAnsi" w:hAnsiTheme="minorHAnsi" w:cstheme="minorHAnsi"/>
          <w:sz w:val="22"/>
          <w:szCs w:val="22"/>
          <w:lang w:eastAsia="en-US"/>
        </w:rPr>
        <w:lastRenderedPageBreak/>
        <w:t xml:space="preserve">honorer leurs engagements pourrait avoir un effet négatif sur les revenus ou la valeur des investissements détenus. </w:t>
      </w:r>
      <w:hyperlink r:id="rId13" w:history="1"/>
    </w:p>
    <w:p w14:paraId="1777F117" w14:textId="77777777" w:rsidR="00780246" w:rsidRPr="00B67B4C" w:rsidRDefault="00780246" w:rsidP="00B67B4C">
      <w:pPr>
        <w:jc w:val="both"/>
        <w:rPr>
          <w:rFonts w:asciiTheme="minorHAnsi" w:eastAsiaTheme="minorHAnsi" w:hAnsiTheme="minorHAnsi" w:cstheme="minorHAnsi"/>
          <w:sz w:val="22"/>
          <w:szCs w:val="22"/>
          <w:lang w:eastAsia="en-US"/>
        </w:rPr>
      </w:pPr>
    </w:p>
    <w:p w14:paraId="18A0C76A" w14:textId="3708594A" w:rsidR="00B67B4C" w:rsidRPr="00B67B4C" w:rsidRDefault="00B67B4C" w:rsidP="00B67B4C">
      <w:pPr>
        <w:jc w:val="both"/>
        <w:rPr>
          <w:rFonts w:asciiTheme="minorHAnsi" w:eastAsiaTheme="minorHAnsi" w:hAnsiTheme="minorHAnsi" w:cstheme="minorHAnsi"/>
          <w:sz w:val="22"/>
          <w:szCs w:val="22"/>
          <w:lang w:eastAsia="en-US"/>
        </w:rPr>
      </w:pPr>
      <w:r w:rsidRPr="00780246">
        <w:rPr>
          <w:rFonts w:asciiTheme="minorHAnsi" w:eastAsiaTheme="minorHAnsi" w:hAnsiTheme="minorHAnsi" w:cstheme="minorHAnsi"/>
          <w:sz w:val="22"/>
          <w:szCs w:val="22"/>
          <w:u w:val="single"/>
          <w:lang w:eastAsia="en-US"/>
        </w:rPr>
        <w:t>Risque de blocage ou de report des rachats</w:t>
      </w:r>
      <w:r w:rsidR="00780246">
        <w:rPr>
          <w:rFonts w:asciiTheme="minorHAnsi" w:eastAsiaTheme="minorHAnsi" w:hAnsiTheme="minorHAnsi" w:cstheme="minorHAnsi"/>
          <w:sz w:val="22"/>
          <w:szCs w:val="22"/>
          <w:lang w:eastAsia="en-US"/>
        </w:rPr>
        <w:t xml:space="preserve"> : </w:t>
      </w:r>
      <w:r w:rsidRPr="00B67B4C">
        <w:rPr>
          <w:rFonts w:asciiTheme="minorHAnsi" w:eastAsiaTheme="minorHAnsi" w:hAnsiTheme="minorHAnsi" w:cstheme="minorHAnsi"/>
          <w:sz w:val="22"/>
          <w:szCs w:val="22"/>
          <w:lang w:eastAsia="en-US"/>
        </w:rPr>
        <w:t>Même après l'expiration de la période de blocage de cinq ans, les demandes de rachat peuvent être réduites, reportées ou temporairement suspendues lorsque les intérêts collectifs des porteurs l'exigent ou lorsque la liquidité disponible du Fonds est insuffisante. L'investisseur doit donc être en mesure de conserver son investissement sur une longue période</w:t>
      </w:r>
    </w:p>
    <w:p w14:paraId="1C8D2345" w14:textId="77777777" w:rsidR="00B67B4C" w:rsidRPr="00E17C80" w:rsidRDefault="00B67B4C" w:rsidP="004C771C">
      <w:pPr>
        <w:spacing w:after="120" w:line="259" w:lineRule="auto"/>
        <w:jc w:val="both"/>
        <w:rPr>
          <w:rFonts w:asciiTheme="minorHAnsi" w:eastAsia="MS Mincho" w:hAnsiTheme="minorHAnsi" w:cstheme="minorHAnsi"/>
          <w:b/>
          <w:color w:val="002060"/>
          <w:sz w:val="22"/>
          <w:szCs w:val="22"/>
        </w:rPr>
      </w:pPr>
    </w:p>
    <w:p w14:paraId="4C41866E" w14:textId="77777777" w:rsidR="006E2D9E" w:rsidRPr="00260620" w:rsidRDefault="006E2D9E" w:rsidP="006E2D9E">
      <w:pPr>
        <w:jc w:val="both"/>
        <w:rPr>
          <w:rFonts w:asciiTheme="minorHAnsi" w:eastAsiaTheme="minorHAnsi" w:hAnsiTheme="minorHAnsi" w:cstheme="minorHAnsi"/>
          <w:sz w:val="22"/>
          <w:szCs w:val="22"/>
          <w:u w:val="single"/>
          <w:lang w:eastAsia="en-US"/>
        </w:rPr>
      </w:pPr>
      <w:r w:rsidRPr="00260620">
        <w:rPr>
          <w:rFonts w:asciiTheme="minorHAnsi" w:eastAsiaTheme="minorHAnsi" w:hAnsiTheme="minorHAnsi" w:cstheme="minorHAnsi"/>
          <w:sz w:val="22"/>
          <w:szCs w:val="22"/>
          <w:u w:val="single"/>
          <w:lang w:eastAsia="en-US"/>
        </w:rPr>
        <w:t>Indicateur de risque :</w:t>
      </w:r>
    </w:p>
    <w:p w14:paraId="08CEFFFB" w14:textId="77777777" w:rsidR="006E2D9E" w:rsidRPr="00260620" w:rsidRDefault="006E2D9E" w:rsidP="006E2D9E">
      <w:pPr>
        <w:jc w:val="both"/>
        <w:rPr>
          <w:rFonts w:asciiTheme="minorHAnsi" w:eastAsiaTheme="minorHAnsi" w:hAnsiTheme="minorHAnsi" w:cstheme="minorHAnsi"/>
          <w:sz w:val="22"/>
          <w:szCs w:val="22"/>
          <w:lang w:eastAsia="en-US"/>
        </w:rPr>
      </w:pPr>
      <w:r w:rsidRPr="00260620">
        <w:rPr>
          <w:rFonts w:asciiTheme="minorHAnsi" w:eastAsiaTheme="minorHAnsi" w:hAnsiTheme="minorHAnsi" w:cstheme="minorHAnsi"/>
          <w:sz w:val="22"/>
          <w:szCs w:val="22"/>
          <w:lang w:eastAsia="en-US"/>
        </w:rPr>
        <w:t xml:space="preserve">L'indicateur de risque part de l'hypothèse que vous conservez le produit pour 8 ans. Le risque réel peut être très différent si vous optez pour une sortie avant échéance, et vous pourriez obtenir moins en retour. </w:t>
      </w:r>
    </w:p>
    <w:p w14:paraId="083F07BE" w14:textId="77777777" w:rsidR="006E2D9E" w:rsidRPr="00630358" w:rsidRDefault="006E2D9E" w:rsidP="006E2D9E">
      <w:pPr>
        <w:jc w:val="both"/>
        <w:rPr>
          <w:rFonts w:asciiTheme="minorHAnsi" w:eastAsiaTheme="minorHAnsi" w:hAnsiTheme="minorHAnsi" w:cstheme="minorHAnsi"/>
          <w:sz w:val="22"/>
          <w:szCs w:val="22"/>
          <w:lang w:eastAsia="en-US"/>
        </w:rPr>
      </w:pPr>
      <w:r w:rsidRPr="00260620">
        <w:rPr>
          <w:rFonts w:asciiTheme="minorHAnsi" w:eastAsiaTheme="minorHAnsi" w:hAnsiTheme="minorHAnsi" w:cstheme="minorHAnsi"/>
          <w:sz w:val="22"/>
          <w:szCs w:val="22"/>
          <w:lang w:eastAsia="en-US"/>
        </w:rPr>
        <w:t>Le Fonds est classé dans la classe de risque 4 sur 7, qui est une classe de risque entre moyenne. Autrement dit, les pertes potentielles liées aux futurs résultats du produit se situent à un niveau moyen.</w:t>
      </w:r>
      <w:r w:rsidRPr="00630358">
        <w:rPr>
          <w:rFonts w:asciiTheme="minorHAnsi" w:eastAsiaTheme="minorHAnsi" w:hAnsiTheme="minorHAnsi" w:cstheme="minorHAnsi"/>
          <w:sz w:val="22"/>
          <w:szCs w:val="22"/>
          <w:lang w:eastAsia="en-US"/>
        </w:rPr>
        <w:t xml:space="preserve"> </w:t>
      </w:r>
    </w:p>
    <w:p w14:paraId="4984CE25" w14:textId="77777777" w:rsidR="006E2D9E" w:rsidRDefault="006E2D9E" w:rsidP="00DC6D29">
      <w:pPr>
        <w:tabs>
          <w:tab w:val="left" w:pos="284"/>
        </w:tabs>
        <w:jc w:val="both"/>
        <w:rPr>
          <w:rFonts w:asciiTheme="minorHAnsi" w:hAnsiTheme="minorHAnsi" w:cstheme="minorHAnsi"/>
          <w:sz w:val="22"/>
          <w:szCs w:val="22"/>
        </w:rPr>
      </w:pPr>
    </w:p>
    <w:p w14:paraId="69F38CFE" w14:textId="3F74D10D" w:rsidR="00B539F7" w:rsidRDefault="00B539F7" w:rsidP="00DC6D29">
      <w:pPr>
        <w:tabs>
          <w:tab w:val="left" w:pos="284"/>
        </w:tabs>
        <w:jc w:val="both"/>
        <w:rPr>
          <w:rFonts w:asciiTheme="minorHAnsi" w:hAnsiTheme="minorHAnsi" w:cstheme="minorHAnsi"/>
          <w:sz w:val="22"/>
          <w:szCs w:val="22"/>
        </w:rPr>
      </w:pPr>
    </w:p>
    <w:p w14:paraId="55A87FD8" w14:textId="187D4A9C" w:rsidR="00B539F7" w:rsidRDefault="00B539F7" w:rsidP="00DC6D29">
      <w:pPr>
        <w:tabs>
          <w:tab w:val="left" w:pos="284"/>
        </w:tabs>
        <w:jc w:val="both"/>
        <w:rPr>
          <w:rFonts w:asciiTheme="minorHAnsi" w:hAnsiTheme="minorHAnsi" w:cstheme="minorHAnsi"/>
          <w:sz w:val="22"/>
          <w:szCs w:val="22"/>
        </w:rPr>
      </w:pPr>
      <w:r>
        <w:rPr>
          <w:rFonts w:asciiTheme="minorHAnsi" w:hAnsiTheme="minorHAnsi" w:cstheme="minorHAnsi"/>
          <w:b/>
          <w:bCs/>
          <w:iCs/>
          <w:noProof/>
          <w:sz w:val="18"/>
          <w:szCs w:val="18"/>
        </w:rPr>
        <mc:AlternateContent>
          <mc:Choice Requires="wpc">
            <w:drawing>
              <wp:anchor distT="0" distB="0" distL="114300" distR="114300" simplePos="0" relativeHeight="251658240" behindDoc="0" locked="0" layoutInCell="1" allowOverlap="1" wp14:anchorId="03F8E8E9" wp14:editId="6AB912A3">
                <wp:simplePos x="0" y="0"/>
                <wp:positionH relativeFrom="margin">
                  <wp:align>center</wp:align>
                </wp:positionH>
                <wp:positionV relativeFrom="paragraph">
                  <wp:posOffset>58420</wp:posOffset>
                </wp:positionV>
                <wp:extent cx="4222750" cy="1028700"/>
                <wp:effectExtent l="0" t="0" r="6350" b="0"/>
                <wp:wrapNone/>
                <wp:docPr id="146" name="Zone de dessin 1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1" name="Rectangle 10"/>
                        <wps:cNvSpPr>
                          <a:spLocks noChangeArrowheads="1"/>
                        </wps:cNvSpPr>
                        <wps:spPr bwMode="auto">
                          <a:xfrm>
                            <a:off x="1790700" y="505036"/>
                            <a:ext cx="487045" cy="267970"/>
                          </a:xfrm>
                          <a:prstGeom prst="rect">
                            <a:avLst/>
                          </a:prstGeom>
                          <a:solidFill>
                            <a:srgbClr val="C00000"/>
                          </a:solidFill>
                          <a:ln>
                            <a:noFill/>
                          </a:ln>
                        </wps:spPr>
                        <wps:txbx>
                          <w:txbxContent>
                            <w:p w14:paraId="21A4D0DB" w14:textId="77777777" w:rsidR="000F0042" w:rsidRDefault="000F0042" w:rsidP="000F0042">
                              <w:pPr>
                                <w:jc w:val="center"/>
                              </w:pPr>
                            </w:p>
                          </w:txbxContent>
                        </wps:txbx>
                        <wps:bodyPr rot="0" vert="horz" wrap="square" lIns="91440" tIns="45720" rIns="91440" bIns="45720" anchor="t" anchorCtr="0" upright="1">
                          <a:noAutofit/>
                        </wps:bodyPr>
                      </wps:wsp>
                      <wps:wsp>
                        <wps:cNvPr id="112" name="Rectangle 11"/>
                        <wps:cNvSpPr>
                          <a:spLocks noChangeArrowheads="1"/>
                        </wps:cNvSpPr>
                        <wps:spPr bwMode="auto">
                          <a:xfrm>
                            <a:off x="0" y="23378"/>
                            <a:ext cx="9975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5148A" w14:textId="77777777" w:rsidR="000F0042" w:rsidRPr="005425EF" w:rsidRDefault="000F0042" w:rsidP="000F0042">
                              <w:pPr>
                                <w:rPr>
                                  <w:sz w:val="32"/>
                                  <w:szCs w:val="32"/>
                                </w:rPr>
                              </w:pPr>
                              <w:r w:rsidRPr="005425EF">
                                <w:rPr>
                                  <w:rFonts w:ascii="Arial" w:hAnsi="Arial" w:cs="Arial"/>
                                  <w:color w:val="000000"/>
                                  <w:sz w:val="18"/>
                                  <w:szCs w:val="18"/>
                                  <w:lang w:val="en-US"/>
                                </w:rPr>
                                <w:t xml:space="preserve">A </w:t>
                              </w:r>
                              <w:proofErr w:type="spellStart"/>
                              <w:r w:rsidRPr="005425EF">
                                <w:rPr>
                                  <w:rFonts w:ascii="Arial" w:hAnsi="Arial" w:cs="Arial"/>
                                  <w:color w:val="000000"/>
                                  <w:sz w:val="18"/>
                                  <w:szCs w:val="18"/>
                                  <w:lang w:val="en-US"/>
                                </w:rPr>
                                <w:t>risque</w:t>
                              </w:r>
                              <w:proofErr w:type="spellEnd"/>
                              <w:r w:rsidRPr="005425EF">
                                <w:rPr>
                                  <w:rFonts w:ascii="Arial" w:hAnsi="Arial" w:cs="Arial"/>
                                  <w:color w:val="000000"/>
                                  <w:sz w:val="18"/>
                                  <w:szCs w:val="18"/>
                                  <w:lang w:val="en-US"/>
                                </w:rPr>
                                <w:t xml:space="preserve"> plus </w:t>
                              </w:r>
                              <w:proofErr w:type="spellStart"/>
                              <w:r w:rsidRPr="005425EF">
                                <w:rPr>
                                  <w:rFonts w:ascii="Arial" w:hAnsi="Arial" w:cs="Arial"/>
                                  <w:color w:val="000000"/>
                                  <w:sz w:val="18"/>
                                  <w:szCs w:val="18"/>
                                  <w:lang w:val="en-US"/>
                                </w:rPr>
                                <w:t>faible</w:t>
                              </w:r>
                              <w:proofErr w:type="spellEnd"/>
                              <w:r w:rsidRPr="005425EF">
                                <w:rPr>
                                  <w:rFonts w:ascii="Arial" w:hAnsi="Arial" w:cs="Arial"/>
                                  <w:color w:val="000000"/>
                                  <w:sz w:val="18"/>
                                  <w:szCs w:val="18"/>
                                  <w:lang w:val="en-US"/>
                                </w:rPr>
                                <w:t>,</w:t>
                              </w:r>
                            </w:p>
                          </w:txbxContent>
                        </wps:txbx>
                        <wps:bodyPr rot="0" vert="horz" wrap="none" lIns="0" tIns="0" rIns="0" bIns="0" anchor="t" anchorCtr="0">
                          <a:spAutoFit/>
                        </wps:bodyPr>
                      </wps:wsp>
                      <wps:wsp>
                        <wps:cNvPr id="113" name="Rectangle 12"/>
                        <wps:cNvSpPr>
                          <a:spLocks noChangeArrowheads="1"/>
                        </wps:cNvSpPr>
                        <wps:spPr bwMode="auto">
                          <a:xfrm>
                            <a:off x="3153858" y="61906"/>
                            <a:ext cx="9975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D617B" w14:textId="77777777" w:rsidR="000F0042" w:rsidRPr="005425EF" w:rsidRDefault="000F0042" w:rsidP="000F0042">
                              <w:pPr>
                                <w:rPr>
                                  <w:sz w:val="32"/>
                                  <w:szCs w:val="32"/>
                                </w:rPr>
                              </w:pPr>
                              <w:r w:rsidRPr="005425EF">
                                <w:rPr>
                                  <w:rFonts w:ascii="Arial" w:hAnsi="Arial" w:cs="Arial"/>
                                  <w:color w:val="000000"/>
                                  <w:sz w:val="18"/>
                                  <w:szCs w:val="18"/>
                                  <w:lang w:val="en-US"/>
                                </w:rPr>
                                <w:t xml:space="preserve">A </w:t>
                              </w:r>
                              <w:proofErr w:type="spellStart"/>
                              <w:r w:rsidRPr="005425EF">
                                <w:rPr>
                                  <w:rFonts w:ascii="Arial" w:hAnsi="Arial" w:cs="Arial"/>
                                  <w:color w:val="000000"/>
                                  <w:sz w:val="18"/>
                                  <w:szCs w:val="18"/>
                                  <w:lang w:val="en-US"/>
                                </w:rPr>
                                <w:t>risque</w:t>
                              </w:r>
                              <w:proofErr w:type="spellEnd"/>
                              <w:r w:rsidRPr="005425EF">
                                <w:rPr>
                                  <w:rFonts w:ascii="Arial" w:hAnsi="Arial" w:cs="Arial"/>
                                  <w:color w:val="000000"/>
                                  <w:sz w:val="18"/>
                                  <w:szCs w:val="18"/>
                                  <w:lang w:val="en-US"/>
                                </w:rPr>
                                <w:t xml:space="preserve"> plus </w:t>
                              </w:r>
                              <w:proofErr w:type="spellStart"/>
                              <w:r w:rsidRPr="005425EF">
                                <w:rPr>
                                  <w:rFonts w:ascii="Arial" w:hAnsi="Arial" w:cs="Arial"/>
                                  <w:color w:val="000000"/>
                                  <w:sz w:val="18"/>
                                  <w:szCs w:val="18"/>
                                  <w:lang w:val="en-US"/>
                                </w:rPr>
                                <w:t>élevé</w:t>
                              </w:r>
                              <w:proofErr w:type="spellEnd"/>
                              <w:r w:rsidRPr="005425EF">
                                <w:rPr>
                                  <w:rFonts w:ascii="Arial" w:hAnsi="Arial" w:cs="Arial"/>
                                  <w:color w:val="000000"/>
                                  <w:sz w:val="18"/>
                                  <w:szCs w:val="18"/>
                                  <w:lang w:val="en-US"/>
                                </w:rPr>
                                <w:t>,</w:t>
                              </w:r>
                            </w:p>
                          </w:txbxContent>
                        </wps:txbx>
                        <wps:bodyPr rot="0" vert="horz" wrap="none" lIns="0" tIns="0" rIns="0" bIns="0" anchor="t" anchorCtr="0">
                          <a:spAutoFit/>
                        </wps:bodyPr>
                      </wps:wsp>
                      <wps:wsp>
                        <wps:cNvPr id="114" name="Rectangle 13"/>
                        <wps:cNvSpPr>
                          <a:spLocks noChangeArrowheads="1"/>
                        </wps:cNvSpPr>
                        <wps:spPr bwMode="auto">
                          <a:xfrm>
                            <a:off x="0" y="207645"/>
                            <a:ext cx="189992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65868" w14:textId="77777777" w:rsidR="000F0042" w:rsidRPr="005425EF" w:rsidRDefault="000F0042" w:rsidP="000F0042">
                              <w:pPr>
                                <w:rPr>
                                  <w:sz w:val="32"/>
                                  <w:szCs w:val="32"/>
                                </w:rPr>
                              </w:pPr>
                              <w:proofErr w:type="spellStart"/>
                              <w:r w:rsidRPr="005425EF">
                                <w:rPr>
                                  <w:rFonts w:ascii="Arial" w:hAnsi="Arial" w:cs="Arial"/>
                                  <w:color w:val="000000"/>
                                  <w:sz w:val="18"/>
                                  <w:szCs w:val="18"/>
                                  <w:lang w:val="en-US"/>
                                </w:rPr>
                                <w:t>rendement</w:t>
                              </w:r>
                              <w:proofErr w:type="spellEnd"/>
                              <w:r w:rsidRPr="005425EF">
                                <w:rPr>
                                  <w:rFonts w:ascii="Arial" w:hAnsi="Arial" w:cs="Arial"/>
                                  <w:color w:val="000000"/>
                                  <w:sz w:val="18"/>
                                  <w:szCs w:val="18"/>
                                  <w:lang w:val="en-US"/>
                                </w:rPr>
                                <w:t xml:space="preserve"> </w:t>
                              </w:r>
                              <w:proofErr w:type="spellStart"/>
                              <w:r w:rsidRPr="005425EF">
                                <w:rPr>
                                  <w:rFonts w:ascii="Arial" w:hAnsi="Arial" w:cs="Arial"/>
                                  <w:color w:val="000000"/>
                                  <w:sz w:val="18"/>
                                  <w:szCs w:val="18"/>
                                  <w:lang w:val="en-US"/>
                                </w:rPr>
                                <w:t>potentiellement</w:t>
                              </w:r>
                              <w:proofErr w:type="spellEnd"/>
                              <w:r w:rsidRPr="005425EF">
                                <w:rPr>
                                  <w:rFonts w:ascii="Arial" w:hAnsi="Arial" w:cs="Arial"/>
                                  <w:color w:val="000000"/>
                                  <w:sz w:val="18"/>
                                  <w:szCs w:val="18"/>
                                  <w:lang w:val="en-US"/>
                                </w:rPr>
                                <w:t xml:space="preserve"> plus </w:t>
                              </w:r>
                              <w:proofErr w:type="spellStart"/>
                              <w:r w:rsidRPr="005425EF">
                                <w:rPr>
                                  <w:rFonts w:ascii="Arial" w:hAnsi="Arial" w:cs="Arial"/>
                                  <w:color w:val="000000"/>
                                  <w:sz w:val="18"/>
                                  <w:szCs w:val="18"/>
                                  <w:lang w:val="en-US"/>
                                </w:rPr>
                                <w:t>faible</w:t>
                              </w:r>
                              <w:proofErr w:type="spellEnd"/>
                            </w:p>
                          </w:txbxContent>
                        </wps:txbx>
                        <wps:bodyPr rot="0" vert="horz" wrap="none" lIns="0" tIns="0" rIns="0" bIns="0" anchor="t" anchorCtr="0">
                          <a:spAutoFit/>
                        </wps:bodyPr>
                      </wps:wsp>
                      <wps:wsp>
                        <wps:cNvPr id="115" name="Rectangle 14"/>
                        <wps:cNvSpPr>
                          <a:spLocks noChangeArrowheads="1"/>
                        </wps:cNvSpPr>
                        <wps:spPr bwMode="auto">
                          <a:xfrm>
                            <a:off x="2232660" y="207645"/>
                            <a:ext cx="189992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5F13A" w14:textId="77777777" w:rsidR="000F0042" w:rsidRPr="005425EF" w:rsidRDefault="000F0042" w:rsidP="000F0042">
                              <w:pPr>
                                <w:rPr>
                                  <w:sz w:val="32"/>
                                  <w:szCs w:val="32"/>
                                </w:rPr>
                              </w:pPr>
                              <w:proofErr w:type="spellStart"/>
                              <w:r w:rsidRPr="005425EF">
                                <w:rPr>
                                  <w:rFonts w:ascii="Arial" w:hAnsi="Arial" w:cs="Arial"/>
                                  <w:color w:val="000000"/>
                                  <w:sz w:val="18"/>
                                  <w:szCs w:val="18"/>
                                  <w:lang w:val="en-US"/>
                                </w:rPr>
                                <w:t>rendement</w:t>
                              </w:r>
                              <w:proofErr w:type="spellEnd"/>
                              <w:r w:rsidRPr="005425EF">
                                <w:rPr>
                                  <w:rFonts w:ascii="Arial" w:hAnsi="Arial" w:cs="Arial"/>
                                  <w:color w:val="000000"/>
                                  <w:sz w:val="18"/>
                                  <w:szCs w:val="18"/>
                                  <w:lang w:val="en-US"/>
                                </w:rPr>
                                <w:t xml:space="preserve"> </w:t>
                              </w:r>
                              <w:proofErr w:type="spellStart"/>
                              <w:r w:rsidRPr="005425EF">
                                <w:rPr>
                                  <w:rFonts w:ascii="Arial" w:hAnsi="Arial" w:cs="Arial"/>
                                  <w:color w:val="000000"/>
                                  <w:sz w:val="18"/>
                                  <w:szCs w:val="18"/>
                                  <w:lang w:val="en-US"/>
                                </w:rPr>
                                <w:t>potentiellement</w:t>
                              </w:r>
                              <w:proofErr w:type="spellEnd"/>
                              <w:r w:rsidRPr="005425EF">
                                <w:rPr>
                                  <w:rFonts w:ascii="Arial" w:hAnsi="Arial" w:cs="Arial"/>
                                  <w:color w:val="000000"/>
                                  <w:sz w:val="18"/>
                                  <w:szCs w:val="18"/>
                                  <w:lang w:val="en-US"/>
                                </w:rPr>
                                <w:t xml:space="preserve"> plus </w:t>
                              </w:r>
                              <w:proofErr w:type="spellStart"/>
                              <w:r w:rsidRPr="005425EF">
                                <w:rPr>
                                  <w:rFonts w:ascii="Arial" w:hAnsi="Arial" w:cs="Arial"/>
                                  <w:color w:val="000000"/>
                                  <w:sz w:val="18"/>
                                  <w:szCs w:val="18"/>
                                  <w:lang w:val="en-US"/>
                                </w:rPr>
                                <w:t>élevé</w:t>
                              </w:r>
                              <w:proofErr w:type="spellEnd"/>
                            </w:p>
                          </w:txbxContent>
                        </wps:txbx>
                        <wps:bodyPr rot="0" vert="horz" wrap="none" lIns="0" tIns="0" rIns="0" bIns="0" anchor="t" anchorCtr="0">
                          <a:spAutoFit/>
                        </wps:bodyPr>
                      </wps:wsp>
                      <wps:wsp>
                        <wps:cNvPr id="116" name="Rectangle 15"/>
                        <wps:cNvSpPr>
                          <a:spLocks noChangeArrowheads="1"/>
                        </wps:cNvSpPr>
                        <wps:spPr bwMode="auto">
                          <a:xfrm>
                            <a:off x="2486025" y="55880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9841F" w14:textId="77777777" w:rsidR="000F0042" w:rsidRDefault="000F0042" w:rsidP="000F0042">
                              <w:r>
                                <w:rPr>
                                  <w:rFonts w:ascii="Arial" w:hAnsi="Arial" w:cs="Arial"/>
                                  <w:b/>
                                  <w:bCs/>
                                  <w:color w:val="000000"/>
                                  <w:sz w:val="20"/>
                                  <w:szCs w:val="20"/>
                                  <w:lang w:val="en-US"/>
                                </w:rPr>
                                <w:t>5</w:t>
                              </w:r>
                            </w:p>
                          </w:txbxContent>
                        </wps:txbx>
                        <wps:bodyPr rot="0" vert="horz" wrap="none" lIns="0" tIns="0" rIns="0" bIns="0" anchor="t" anchorCtr="0">
                          <a:spAutoFit/>
                        </wps:bodyPr>
                      </wps:wsp>
                      <wps:wsp>
                        <wps:cNvPr id="117" name="Rectangle 16"/>
                        <wps:cNvSpPr>
                          <a:spLocks noChangeArrowheads="1"/>
                        </wps:cNvSpPr>
                        <wps:spPr bwMode="auto">
                          <a:xfrm>
                            <a:off x="2971800" y="55880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7B713" w14:textId="77777777" w:rsidR="000F0042" w:rsidRDefault="000F0042" w:rsidP="000F0042">
                              <w:r>
                                <w:rPr>
                                  <w:rFonts w:ascii="Arial" w:hAnsi="Arial" w:cs="Arial"/>
                                  <w:b/>
                                  <w:bCs/>
                                  <w:color w:val="000000"/>
                                  <w:sz w:val="20"/>
                                  <w:szCs w:val="20"/>
                                  <w:lang w:val="en-US"/>
                                </w:rPr>
                                <w:t>6</w:t>
                              </w:r>
                            </w:p>
                          </w:txbxContent>
                        </wps:txbx>
                        <wps:bodyPr rot="0" vert="horz" wrap="none" lIns="0" tIns="0" rIns="0" bIns="0" anchor="t" anchorCtr="0">
                          <a:spAutoFit/>
                        </wps:bodyPr>
                      </wps:wsp>
                      <wps:wsp>
                        <wps:cNvPr id="118" name="Rectangle 17"/>
                        <wps:cNvSpPr>
                          <a:spLocks noChangeArrowheads="1"/>
                        </wps:cNvSpPr>
                        <wps:spPr bwMode="auto">
                          <a:xfrm>
                            <a:off x="3456940" y="55880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753FA" w14:textId="77777777" w:rsidR="000F0042" w:rsidRDefault="000F0042" w:rsidP="000F0042">
                              <w:r>
                                <w:rPr>
                                  <w:rFonts w:ascii="Arial" w:hAnsi="Arial" w:cs="Arial"/>
                                  <w:b/>
                                  <w:bCs/>
                                  <w:color w:val="000000"/>
                                  <w:sz w:val="20"/>
                                  <w:szCs w:val="20"/>
                                  <w:lang w:val="en-US"/>
                                </w:rPr>
                                <w:t>7</w:t>
                              </w:r>
                            </w:p>
                          </w:txbxContent>
                        </wps:txbx>
                        <wps:bodyPr rot="0" vert="horz" wrap="none" lIns="0" tIns="0" rIns="0" bIns="0" anchor="t" anchorCtr="0">
                          <a:spAutoFit/>
                        </wps:bodyPr>
                      </wps:wsp>
                      <wps:wsp>
                        <wps:cNvPr id="119" name="Rectangle 18"/>
                        <wps:cNvSpPr>
                          <a:spLocks noChangeArrowheads="1"/>
                        </wps:cNvSpPr>
                        <wps:spPr bwMode="auto">
                          <a:xfrm>
                            <a:off x="543560" y="55880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72B22" w14:textId="77777777" w:rsidR="000F0042" w:rsidRDefault="000F0042" w:rsidP="000F0042">
                              <w:r>
                                <w:rPr>
                                  <w:rFonts w:ascii="Arial" w:hAnsi="Arial" w:cs="Arial"/>
                                  <w:b/>
                                  <w:bCs/>
                                  <w:color w:val="000000"/>
                                  <w:sz w:val="20"/>
                                  <w:szCs w:val="20"/>
                                  <w:lang w:val="en-US"/>
                                </w:rPr>
                                <w:t>1</w:t>
                              </w:r>
                            </w:p>
                          </w:txbxContent>
                        </wps:txbx>
                        <wps:bodyPr rot="0" vert="horz" wrap="none" lIns="0" tIns="0" rIns="0" bIns="0" anchor="t" anchorCtr="0">
                          <a:spAutoFit/>
                        </wps:bodyPr>
                      </wps:wsp>
                      <wps:wsp>
                        <wps:cNvPr id="120" name="Rectangle 19"/>
                        <wps:cNvSpPr>
                          <a:spLocks noChangeArrowheads="1"/>
                        </wps:cNvSpPr>
                        <wps:spPr bwMode="auto">
                          <a:xfrm>
                            <a:off x="1029335" y="55880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62640" w14:textId="77777777" w:rsidR="000F0042" w:rsidRDefault="000F0042" w:rsidP="000F0042">
                              <w:r>
                                <w:rPr>
                                  <w:rFonts w:ascii="Arial" w:hAnsi="Arial" w:cs="Arial"/>
                                  <w:b/>
                                  <w:bCs/>
                                  <w:color w:val="000000"/>
                                  <w:sz w:val="20"/>
                                  <w:szCs w:val="20"/>
                                  <w:lang w:val="en-US"/>
                                </w:rPr>
                                <w:t>2</w:t>
                              </w:r>
                            </w:p>
                          </w:txbxContent>
                        </wps:txbx>
                        <wps:bodyPr rot="0" vert="horz" wrap="none" lIns="0" tIns="0" rIns="0" bIns="0" anchor="t" anchorCtr="0">
                          <a:spAutoFit/>
                        </wps:bodyPr>
                      </wps:wsp>
                      <wps:wsp>
                        <wps:cNvPr id="121" name="Rectangle 20"/>
                        <wps:cNvSpPr>
                          <a:spLocks noChangeArrowheads="1"/>
                        </wps:cNvSpPr>
                        <wps:spPr bwMode="auto">
                          <a:xfrm>
                            <a:off x="1515110" y="55880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920D2" w14:textId="77777777" w:rsidR="000F0042" w:rsidRDefault="000F0042" w:rsidP="000F0042">
                              <w:r>
                                <w:rPr>
                                  <w:rFonts w:ascii="Arial" w:hAnsi="Arial" w:cs="Arial"/>
                                  <w:b/>
                                  <w:bCs/>
                                  <w:color w:val="000000"/>
                                  <w:sz w:val="20"/>
                                  <w:szCs w:val="20"/>
                                  <w:lang w:val="en-US"/>
                                </w:rPr>
                                <w:t>3</w:t>
                              </w:r>
                            </w:p>
                          </w:txbxContent>
                        </wps:txbx>
                        <wps:bodyPr rot="0" vert="horz" wrap="none" lIns="0" tIns="0" rIns="0" bIns="0" anchor="t" anchorCtr="0">
                          <a:spAutoFit/>
                        </wps:bodyPr>
                      </wps:wsp>
                      <wps:wsp>
                        <wps:cNvPr id="122" name="Rectangle 21"/>
                        <wps:cNvSpPr>
                          <a:spLocks noChangeArrowheads="1"/>
                        </wps:cNvSpPr>
                        <wps:spPr bwMode="auto">
                          <a:xfrm>
                            <a:off x="2000250" y="55880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A78C8" w14:textId="77777777" w:rsidR="000F0042" w:rsidRDefault="000F0042" w:rsidP="000F0042">
                              <w:r>
                                <w:rPr>
                                  <w:rFonts w:ascii="Arial" w:hAnsi="Arial" w:cs="Arial"/>
                                  <w:b/>
                                  <w:bCs/>
                                  <w:color w:val="000000"/>
                                  <w:sz w:val="20"/>
                                  <w:szCs w:val="20"/>
                                  <w:lang w:val="en-US"/>
                                </w:rPr>
                                <w:t>4</w:t>
                              </w:r>
                            </w:p>
                          </w:txbxContent>
                        </wps:txbx>
                        <wps:bodyPr rot="0" vert="horz" wrap="none" lIns="0" tIns="0" rIns="0" bIns="0" anchor="t" anchorCtr="0">
                          <a:spAutoFit/>
                        </wps:bodyPr>
                      </wps:wsp>
                      <wps:wsp>
                        <wps:cNvPr id="123" name="Line 22"/>
                        <wps:cNvCnPr>
                          <a:cxnSpLocks noChangeShapeType="1"/>
                        </wps:cNvCnPr>
                        <wps:spPr bwMode="auto">
                          <a:xfrm>
                            <a:off x="325755" y="497840"/>
                            <a:ext cx="0" cy="2768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Rectangle 23"/>
                        <wps:cNvSpPr>
                          <a:spLocks noChangeArrowheads="1"/>
                        </wps:cNvSpPr>
                        <wps:spPr bwMode="auto">
                          <a:xfrm>
                            <a:off x="325755" y="497840"/>
                            <a:ext cx="9525" cy="2768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25"/>
                        <wps:cNvSpPr>
                          <a:spLocks noChangeArrowheads="1"/>
                        </wps:cNvSpPr>
                        <wps:spPr bwMode="auto">
                          <a:xfrm>
                            <a:off x="811530" y="508000"/>
                            <a:ext cx="9525" cy="266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Line 26"/>
                        <wps:cNvCnPr>
                          <a:cxnSpLocks noChangeShapeType="1"/>
                        </wps:cNvCnPr>
                        <wps:spPr bwMode="auto">
                          <a:xfrm>
                            <a:off x="1296670" y="508000"/>
                            <a:ext cx="0" cy="266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Rectangle 27"/>
                        <wps:cNvSpPr>
                          <a:spLocks noChangeArrowheads="1"/>
                        </wps:cNvSpPr>
                        <wps:spPr bwMode="auto">
                          <a:xfrm>
                            <a:off x="1296670" y="508000"/>
                            <a:ext cx="10160" cy="266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Line 28"/>
                        <wps:cNvCnPr>
                          <a:cxnSpLocks noChangeShapeType="1"/>
                        </wps:cNvCnPr>
                        <wps:spPr bwMode="auto">
                          <a:xfrm>
                            <a:off x="1782445" y="508000"/>
                            <a:ext cx="0" cy="266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Rectangle 29"/>
                        <wps:cNvSpPr>
                          <a:spLocks noChangeArrowheads="1"/>
                        </wps:cNvSpPr>
                        <wps:spPr bwMode="auto">
                          <a:xfrm>
                            <a:off x="1782445" y="508000"/>
                            <a:ext cx="9525" cy="266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Line 30"/>
                        <wps:cNvCnPr>
                          <a:cxnSpLocks noChangeShapeType="1"/>
                        </wps:cNvCnPr>
                        <wps:spPr bwMode="auto">
                          <a:xfrm>
                            <a:off x="2268220" y="508000"/>
                            <a:ext cx="0" cy="266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Rectangle 31"/>
                        <wps:cNvSpPr>
                          <a:spLocks noChangeArrowheads="1"/>
                        </wps:cNvSpPr>
                        <wps:spPr bwMode="auto">
                          <a:xfrm>
                            <a:off x="2268220" y="508000"/>
                            <a:ext cx="9525" cy="266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32"/>
                        <wps:cNvCnPr>
                          <a:cxnSpLocks noChangeShapeType="1"/>
                        </wps:cNvCnPr>
                        <wps:spPr bwMode="auto">
                          <a:xfrm>
                            <a:off x="2753360" y="508000"/>
                            <a:ext cx="0" cy="266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Rectangle 33"/>
                        <wps:cNvSpPr>
                          <a:spLocks noChangeArrowheads="1"/>
                        </wps:cNvSpPr>
                        <wps:spPr bwMode="auto">
                          <a:xfrm>
                            <a:off x="2753360" y="508000"/>
                            <a:ext cx="10160" cy="266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34"/>
                        <wps:cNvCnPr>
                          <a:cxnSpLocks noChangeShapeType="1"/>
                        </wps:cNvCnPr>
                        <wps:spPr bwMode="auto">
                          <a:xfrm>
                            <a:off x="3239135" y="508000"/>
                            <a:ext cx="0" cy="266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Rectangle 35"/>
                        <wps:cNvSpPr>
                          <a:spLocks noChangeArrowheads="1"/>
                        </wps:cNvSpPr>
                        <wps:spPr bwMode="auto">
                          <a:xfrm>
                            <a:off x="3239135" y="508000"/>
                            <a:ext cx="9525" cy="266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36"/>
                        <wps:cNvCnPr>
                          <a:cxnSpLocks noChangeShapeType="1"/>
                        </wps:cNvCnPr>
                        <wps:spPr bwMode="auto">
                          <a:xfrm>
                            <a:off x="3724910" y="508000"/>
                            <a:ext cx="0" cy="266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Rectangle 37"/>
                        <wps:cNvSpPr>
                          <a:spLocks noChangeArrowheads="1"/>
                        </wps:cNvSpPr>
                        <wps:spPr bwMode="auto">
                          <a:xfrm>
                            <a:off x="3724910" y="508000"/>
                            <a:ext cx="9525" cy="266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39"/>
                        <wps:cNvSpPr>
                          <a:spLocks noChangeArrowheads="1"/>
                        </wps:cNvSpPr>
                        <wps:spPr bwMode="auto">
                          <a:xfrm>
                            <a:off x="335280" y="497840"/>
                            <a:ext cx="339915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41"/>
                        <wps:cNvSpPr>
                          <a:spLocks noChangeArrowheads="1"/>
                        </wps:cNvSpPr>
                        <wps:spPr bwMode="auto">
                          <a:xfrm>
                            <a:off x="335280" y="764540"/>
                            <a:ext cx="339915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Freeform 42"/>
                        <wps:cNvSpPr>
                          <a:spLocks noEditPoints="1"/>
                        </wps:cNvSpPr>
                        <wps:spPr bwMode="auto">
                          <a:xfrm>
                            <a:off x="348974" y="390276"/>
                            <a:ext cx="3399155" cy="64770"/>
                          </a:xfrm>
                          <a:custGeom>
                            <a:avLst/>
                            <a:gdLst>
                              <a:gd name="T0" fmla="*/ 80 w 5353"/>
                              <a:gd name="T1" fmla="*/ 34 h 102"/>
                              <a:gd name="T2" fmla="*/ 5274 w 5353"/>
                              <a:gd name="T3" fmla="*/ 34 h 102"/>
                              <a:gd name="T4" fmla="*/ 5274 w 5353"/>
                              <a:gd name="T5" fmla="*/ 68 h 102"/>
                              <a:gd name="T6" fmla="*/ 80 w 5353"/>
                              <a:gd name="T7" fmla="*/ 68 h 102"/>
                              <a:gd name="T8" fmla="*/ 80 w 5353"/>
                              <a:gd name="T9" fmla="*/ 34 h 102"/>
                              <a:gd name="T10" fmla="*/ 95 w 5353"/>
                              <a:gd name="T11" fmla="*/ 102 h 102"/>
                              <a:gd name="T12" fmla="*/ 0 w 5353"/>
                              <a:gd name="T13" fmla="*/ 51 h 102"/>
                              <a:gd name="T14" fmla="*/ 95 w 5353"/>
                              <a:gd name="T15" fmla="*/ 0 h 102"/>
                              <a:gd name="T16" fmla="*/ 95 w 5353"/>
                              <a:gd name="T17" fmla="*/ 102 h 102"/>
                              <a:gd name="T18" fmla="*/ 5258 w 5353"/>
                              <a:gd name="T19" fmla="*/ 0 h 102"/>
                              <a:gd name="T20" fmla="*/ 5353 w 5353"/>
                              <a:gd name="T21" fmla="*/ 51 h 102"/>
                              <a:gd name="T22" fmla="*/ 5258 w 5353"/>
                              <a:gd name="T23" fmla="*/ 102 h 102"/>
                              <a:gd name="T24" fmla="*/ 5258 w 5353"/>
                              <a:gd name="T25"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353" h="102">
                                <a:moveTo>
                                  <a:pt x="80" y="34"/>
                                </a:moveTo>
                                <a:lnTo>
                                  <a:pt x="5274" y="34"/>
                                </a:lnTo>
                                <a:lnTo>
                                  <a:pt x="5274" y="68"/>
                                </a:lnTo>
                                <a:lnTo>
                                  <a:pt x="80" y="68"/>
                                </a:lnTo>
                                <a:lnTo>
                                  <a:pt x="80" y="34"/>
                                </a:lnTo>
                                <a:close/>
                                <a:moveTo>
                                  <a:pt x="95" y="102"/>
                                </a:moveTo>
                                <a:lnTo>
                                  <a:pt x="0" y="51"/>
                                </a:lnTo>
                                <a:lnTo>
                                  <a:pt x="95" y="0"/>
                                </a:lnTo>
                                <a:lnTo>
                                  <a:pt x="95" y="102"/>
                                </a:lnTo>
                                <a:close/>
                                <a:moveTo>
                                  <a:pt x="5258" y="0"/>
                                </a:moveTo>
                                <a:lnTo>
                                  <a:pt x="5353" y="51"/>
                                </a:lnTo>
                                <a:lnTo>
                                  <a:pt x="5258" y="102"/>
                                </a:lnTo>
                                <a:lnTo>
                                  <a:pt x="5258" y="0"/>
                                </a:lnTo>
                                <a:close/>
                              </a:path>
                            </a:pathLst>
                          </a:custGeom>
                          <a:solidFill>
                            <a:srgbClr val="808080"/>
                          </a:solidFill>
                          <a:ln w="1270" cap="flat">
                            <a:solidFill>
                              <a:srgbClr val="808080"/>
                            </a:solidFill>
                            <a:prstDash val="solid"/>
                            <a:bevel/>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3F8E8E9" id="Zone de dessin 146" o:spid="_x0000_s1026" editas="canvas" style="position:absolute;left:0;text-align:left;margin-left:0;margin-top:4.6pt;width:332.5pt;height:81pt;z-index:251658240;mso-position-horizontal:center;mso-position-horizontal-relative:margin" coordsize="42227,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2227;height:10287;visibility:visible;mso-wrap-style:square">
                  <v:fill o:detectmouseclick="t"/>
                  <v:path o:connecttype="none"/>
                </v:shape>
                <v:rect id="Rectangle 10" o:spid="_x0000_s1028" style="position:absolute;left:17907;top:5050;width:4870;height:2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" fillcolor="#c00000" stroked="f">
                  <v:textbox>
                    <w:txbxContent>
                      <w:p w14:paraId="21A4D0DB" w14:textId="77777777" w:rsidR="000F0042" w:rsidRDefault="000F0042" w:rsidP="000F0042">
                        <w:pPr>
                          <w:jc w:val="center"/>
                        </w:pPr>
                      </w:p>
                    </w:txbxContent>
                  </v:textbox>
                </v:rect>
                <v:rect id="Rectangle 11" o:spid="_x0000_s1029" style="position:absolute;top:233;width:9975;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" filled="f" stroked="f">
                  <v:textbox style="mso-fit-shape-to-text:t" inset="0,0,0,0">
                    <w:txbxContent>
                      <w:p w14:paraId="0655148A" w14:textId="77777777" w:rsidR="000F0042" w:rsidRPr="005425EF" w:rsidRDefault="000F0042" w:rsidP="000F0042">
                        <w:pPr>
                          <w:rPr>
                            <w:sz w:val="32"/>
                            <w:szCs w:val="32"/>
                          </w:rPr>
                        </w:pPr>
                        <w:r w:rsidRPr="005425EF">
                          <w:rPr>
                            <w:rFonts w:ascii="Arial" w:hAnsi="Arial" w:cs="Arial"/>
                            <w:color w:val="000000"/>
                            <w:sz w:val="18"/>
                            <w:szCs w:val="18"/>
                            <w:lang w:val="en-US"/>
                          </w:rPr>
                          <w:t xml:space="preserve">A </w:t>
                        </w:r>
                        <w:proofErr w:type="spellStart"/>
                        <w:r w:rsidRPr="005425EF">
                          <w:rPr>
                            <w:rFonts w:ascii="Arial" w:hAnsi="Arial" w:cs="Arial"/>
                            <w:color w:val="000000"/>
                            <w:sz w:val="18"/>
                            <w:szCs w:val="18"/>
                            <w:lang w:val="en-US"/>
                          </w:rPr>
                          <w:t>risque</w:t>
                        </w:r>
                        <w:proofErr w:type="spellEnd"/>
                        <w:r w:rsidRPr="005425EF">
                          <w:rPr>
                            <w:rFonts w:ascii="Arial" w:hAnsi="Arial" w:cs="Arial"/>
                            <w:color w:val="000000"/>
                            <w:sz w:val="18"/>
                            <w:szCs w:val="18"/>
                            <w:lang w:val="en-US"/>
                          </w:rPr>
                          <w:t xml:space="preserve"> plus </w:t>
                        </w:r>
                        <w:proofErr w:type="spellStart"/>
                        <w:r w:rsidRPr="005425EF">
                          <w:rPr>
                            <w:rFonts w:ascii="Arial" w:hAnsi="Arial" w:cs="Arial"/>
                            <w:color w:val="000000"/>
                            <w:sz w:val="18"/>
                            <w:szCs w:val="18"/>
                            <w:lang w:val="en-US"/>
                          </w:rPr>
                          <w:t>faible</w:t>
                        </w:r>
                        <w:proofErr w:type="spellEnd"/>
                        <w:r w:rsidRPr="005425EF">
                          <w:rPr>
                            <w:rFonts w:ascii="Arial" w:hAnsi="Arial" w:cs="Arial"/>
                            <w:color w:val="000000"/>
                            <w:sz w:val="18"/>
                            <w:szCs w:val="18"/>
                            <w:lang w:val="en-US"/>
                          </w:rPr>
                          <w:t>,</w:t>
                        </w:r>
                      </w:p>
                    </w:txbxContent>
                  </v:textbox>
                </v:rect>
                <v:rect id="Rectangle 12" o:spid="_x0000_s1030" style="position:absolute;left:31538;top:619;width:9976;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dEvgAAANwAAAAPAAAAZHJzL2Rvd25yZXYueG1sRE/bisIw&#10;EH1f8B/CCL6tqS4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B0Qt0S+AAAA3AAAAA8AAAAAAAAA&#10;AAAAAAAABwIAAGRycy9kb3ducmV2LnhtbFBLBQYAAAAAAwADALcAAADyAgAAAAA=&#10;" filled="f" stroked="f">
                  <v:textbox style="mso-fit-shape-to-text:t" inset="0,0,0,0">
                    <w:txbxContent>
                      <w:p w14:paraId="1C9D617B" w14:textId="77777777" w:rsidR="000F0042" w:rsidRPr="005425EF" w:rsidRDefault="000F0042" w:rsidP="000F0042">
                        <w:pPr>
                          <w:rPr>
                            <w:sz w:val="32"/>
                            <w:szCs w:val="32"/>
                          </w:rPr>
                        </w:pPr>
                        <w:r w:rsidRPr="005425EF">
                          <w:rPr>
                            <w:rFonts w:ascii="Arial" w:hAnsi="Arial" w:cs="Arial"/>
                            <w:color w:val="000000"/>
                            <w:sz w:val="18"/>
                            <w:szCs w:val="18"/>
                            <w:lang w:val="en-US"/>
                          </w:rPr>
                          <w:t xml:space="preserve">A </w:t>
                        </w:r>
                        <w:proofErr w:type="spellStart"/>
                        <w:r w:rsidRPr="005425EF">
                          <w:rPr>
                            <w:rFonts w:ascii="Arial" w:hAnsi="Arial" w:cs="Arial"/>
                            <w:color w:val="000000"/>
                            <w:sz w:val="18"/>
                            <w:szCs w:val="18"/>
                            <w:lang w:val="en-US"/>
                          </w:rPr>
                          <w:t>risque</w:t>
                        </w:r>
                        <w:proofErr w:type="spellEnd"/>
                        <w:r w:rsidRPr="005425EF">
                          <w:rPr>
                            <w:rFonts w:ascii="Arial" w:hAnsi="Arial" w:cs="Arial"/>
                            <w:color w:val="000000"/>
                            <w:sz w:val="18"/>
                            <w:szCs w:val="18"/>
                            <w:lang w:val="en-US"/>
                          </w:rPr>
                          <w:t xml:space="preserve"> plus </w:t>
                        </w:r>
                        <w:proofErr w:type="spellStart"/>
                        <w:r w:rsidRPr="005425EF">
                          <w:rPr>
                            <w:rFonts w:ascii="Arial" w:hAnsi="Arial" w:cs="Arial"/>
                            <w:color w:val="000000"/>
                            <w:sz w:val="18"/>
                            <w:szCs w:val="18"/>
                            <w:lang w:val="en-US"/>
                          </w:rPr>
                          <w:t>élevé</w:t>
                        </w:r>
                        <w:proofErr w:type="spellEnd"/>
                        <w:r w:rsidRPr="005425EF">
                          <w:rPr>
                            <w:rFonts w:ascii="Arial" w:hAnsi="Arial" w:cs="Arial"/>
                            <w:color w:val="000000"/>
                            <w:sz w:val="18"/>
                            <w:szCs w:val="18"/>
                            <w:lang w:val="en-US"/>
                          </w:rPr>
                          <w:t>,</w:t>
                        </w:r>
                      </w:p>
                    </w:txbxContent>
                  </v:textbox>
                </v:rect>
                <v:rect id="Rectangle 13" o:spid="_x0000_s1031" style="position:absolute;top:2076;width:1899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8wvgAAANwAAAAPAAAAZHJzL2Rvd25yZXYueG1sRE/bisIw&#10;EH1f8B/CCL6tqbI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JL5LzC+AAAA3AAAAA8AAAAAAAAA&#10;AAAAAAAABwIAAGRycy9kb3ducmV2LnhtbFBLBQYAAAAAAwADALcAAADyAgAAAAA=&#10;" filled="f" stroked="f">
                  <v:textbox style="mso-fit-shape-to-text:t" inset="0,0,0,0">
                    <w:txbxContent>
                      <w:p w14:paraId="1BB65868" w14:textId="77777777" w:rsidR="000F0042" w:rsidRPr="005425EF" w:rsidRDefault="000F0042" w:rsidP="000F0042">
                        <w:pPr>
                          <w:rPr>
                            <w:sz w:val="32"/>
                            <w:szCs w:val="32"/>
                          </w:rPr>
                        </w:pPr>
                        <w:proofErr w:type="spellStart"/>
                        <w:r w:rsidRPr="005425EF">
                          <w:rPr>
                            <w:rFonts w:ascii="Arial" w:hAnsi="Arial" w:cs="Arial"/>
                            <w:color w:val="000000"/>
                            <w:sz w:val="18"/>
                            <w:szCs w:val="18"/>
                            <w:lang w:val="en-US"/>
                          </w:rPr>
                          <w:t>rendement</w:t>
                        </w:r>
                        <w:proofErr w:type="spellEnd"/>
                        <w:r w:rsidRPr="005425EF">
                          <w:rPr>
                            <w:rFonts w:ascii="Arial" w:hAnsi="Arial" w:cs="Arial"/>
                            <w:color w:val="000000"/>
                            <w:sz w:val="18"/>
                            <w:szCs w:val="18"/>
                            <w:lang w:val="en-US"/>
                          </w:rPr>
                          <w:t xml:space="preserve"> </w:t>
                        </w:r>
                        <w:proofErr w:type="spellStart"/>
                        <w:r w:rsidRPr="005425EF">
                          <w:rPr>
                            <w:rFonts w:ascii="Arial" w:hAnsi="Arial" w:cs="Arial"/>
                            <w:color w:val="000000"/>
                            <w:sz w:val="18"/>
                            <w:szCs w:val="18"/>
                            <w:lang w:val="en-US"/>
                          </w:rPr>
                          <w:t>potentiellement</w:t>
                        </w:r>
                        <w:proofErr w:type="spellEnd"/>
                        <w:r w:rsidRPr="005425EF">
                          <w:rPr>
                            <w:rFonts w:ascii="Arial" w:hAnsi="Arial" w:cs="Arial"/>
                            <w:color w:val="000000"/>
                            <w:sz w:val="18"/>
                            <w:szCs w:val="18"/>
                            <w:lang w:val="en-US"/>
                          </w:rPr>
                          <w:t xml:space="preserve"> plus </w:t>
                        </w:r>
                        <w:proofErr w:type="spellStart"/>
                        <w:r w:rsidRPr="005425EF">
                          <w:rPr>
                            <w:rFonts w:ascii="Arial" w:hAnsi="Arial" w:cs="Arial"/>
                            <w:color w:val="000000"/>
                            <w:sz w:val="18"/>
                            <w:szCs w:val="18"/>
                            <w:lang w:val="en-US"/>
                          </w:rPr>
                          <w:t>faible</w:t>
                        </w:r>
                        <w:proofErr w:type="spellEnd"/>
                      </w:p>
                    </w:txbxContent>
                  </v:textbox>
                </v:rect>
                <v:rect id="Rectangle 14" o:spid="_x0000_s1032" style="position:absolute;left:22326;top:2076;width:1899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YqrvgAAANwAAAAPAAAAZHJzL2Rvd25yZXYueG1sRE/bisIw&#10;EH1f8B/CCL6tqcIu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P21iqu+AAAA3AAAAA8AAAAAAAAA&#10;AAAAAAAABwIAAGRycy9kb3ducmV2LnhtbFBLBQYAAAAAAwADALcAAADyAgAAAAA=&#10;" filled="f" stroked="f">
                  <v:textbox style="mso-fit-shape-to-text:t" inset="0,0,0,0">
                    <w:txbxContent>
                      <w:p w14:paraId="3075F13A" w14:textId="77777777" w:rsidR="000F0042" w:rsidRPr="005425EF" w:rsidRDefault="000F0042" w:rsidP="000F0042">
                        <w:pPr>
                          <w:rPr>
                            <w:sz w:val="32"/>
                            <w:szCs w:val="32"/>
                          </w:rPr>
                        </w:pPr>
                        <w:proofErr w:type="spellStart"/>
                        <w:r w:rsidRPr="005425EF">
                          <w:rPr>
                            <w:rFonts w:ascii="Arial" w:hAnsi="Arial" w:cs="Arial"/>
                            <w:color w:val="000000"/>
                            <w:sz w:val="18"/>
                            <w:szCs w:val="18"/>
                            <w:lang w:val="en-US"/>
                          </w:rPr>
                          <w:t>rendement</w:t>
                        </w:r>
                        <w:proofErr w:type="spellEnd"/>
                        <w:r w:rsidRPr="005425EF">
                          <w:rPr>
                            <w:rFonts w:ascii="Arial" w:hAnsi="Arial" w:cs="Arial"/>
                            <w:color w:val="000000"/>
                            <w:sz w:val="18"/>
                            <w:szCs w:val="18"/>
                            <w:lang w:val="en-US"/>
                          </w:rPr>
                          <w:t xml:space="preserve"> </w:t>
                        </w:r>
                        <w:proofErr w:type="spellStart"/>
                        <w:r w:rsidRPr="005425EF">
                          <w:rPr>
                            <w:rFonts w:ascii="Arial" w:hAnsi="Arial" w:cs="Arial"/>
                            <w:color w:val="000000"/>
                            <w:sz w:val="18"/>
                            <w:szCs w:val="18"/>
                            <w:lang w:val="en-US"/>
                          </w:rPr>
                          <w:t>potentiellement</w:t>
                        </w:r>
                        <w:proofErr w:type="spellEnd"/>
                        <w:r w:rsidRPr="005425EF">
                          <w:rPr>
                            <w:rFonts w:ascii="Arial" w:hAnsi="Arial" w:cs="Arial"/>
                            <w:color w:val="000000"/>
                            <w:sz w:val="18"/>
                            <w:szCs w:val="18"/>
                            <w:lang w:val="en-US"/>
                          </w:rPr>
                          <w:t xml:space="preserve"> plus </w:t>
                        </w:r>
                        <w:proofErr w:type="spellStart"/>
                        <w:r w:rsidRPr="005425EF">
                          <w:rPr>
                            <w:rFonts w:ascii="Arial" w:hAnsi="Arial" w:cs="Arial"/>
                            <w:color w:val="000000"/>
                            <w:sz w:val="18"/>
                            <w:szCs w:val="18"/>
                            <w:lang w:val="en-US"/>
                          </w:rPr>
                          <w:t>élevé</w:t>
                        </w:r>
                        <w:proofErr w:type="spellEnd"/>
                      </w:p>
                    </w:txbxContent>
                  </v:textbox>
                </v:rect>
                <v:rect id="Rectangle 15" o:spid="_x0000_s1033" style="position:absolute;left:24860;top:5588;width:7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" filled="f" stroked="f">
                  <v:textbox style="mso-fit-shape-to-text:t" inset="0,0,0,0">
                    <w:txbxContent>
                      <w:p w14:paraId="11E9841F" w14:textId="77777777" w:rsidR="000F0042" w:rsidRDefault="000F0042" w:rsidP="000F0042">
                        <w:r>
                          <w:rPr>
                            <w:rFonts w:ascii="Arial" w:hAnsi="Arial" w:cs="Arial"/>
                            <w:b/>
                            <w:bCs/>
                            <w:color w:val="000000"/>
                            <w:sz w:val="20"/>
                            <w:szCs w:val="20"/>
                            <w:lang w:val="en-US"/>
                          </w:rPr>
                          <w:t>5</w:t>
                        </w:r>
                      </w:p>
                    </w:txbxContent>
                  </v:textbox>
                </v:rect>
                <v:rect id="Rectangle 16" o:spid="_x0000_s1034" style="position:absolute;left:29718;top:5588;width:7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FHvwAAANwAAAAPAAAAZHJzL2Rvd25yZXYueG1sRE/NisIw&#10;EL4v+A5hBG9rqoddq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iK7FHvwAAANwAAAAPAAAAAAAA&#10;AAAAAAAAAAcCAABkcnMvZG93bnJldi54bWxQSwUGAAAAAAMAAwC3AAAA8wIAAAAA&#10;" filled="f" stroked="f">
                  <v:textbox style="mso-fit-shape-to-text:t" inset="0,0,0,0">
                    <w:txbxContent>
                      <w:p w14:paraId="79E7B713" w14:textId="77777777" w:rsidR="000F0042" w:rsidRDefault="000F0042" w:rsidP="000F0042">
                        <w:r>
                          <w:rPr>
                            <w:rFonts w:ascii="Arial" w:hAnsi="Arial" w:cs="Arial"/>
                            <w:b/>
                            <w:bCs/>
                            <w:color w:val="000000"/>
                            <w:sz w:val="20"/>
                            <w:szCs w:val="20"/>
                            <w:lang w:val="en-US"/>
                          </w:rPr>
                          <w:t>6</w:t>
                        </w:r>
                      </w:p>
                    </w:txbxContent>
                  </v:textbox>
                </v:rect>
                <v:rect id="Rectangle 17" o:spid="_x0000_s1035" style="position:absolute;left:34569;top:5588;width:7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" filled="f" stroked="f">
                  <v:textbox style="mso-fit-shape-to-text:t" inset="0,0,0,0">
                    <w:txbxContent>
                      <w:p w14:paraId="1A7753FA" w14:textId="77777777" w:rsidR="000F0042" w:rsidRDefault="000F0042" w:rsidP="000F0042">
                        <w:r>
                          <w:rPr>
                            <w:rFonts w:ascii="Arial" w:hAnsi="Arial" w:cs="Arial"/>
                            <w:b/>
                            <w:bCs/>
                            <w:color w:val="000000"/>
                            <w:sz w:val="20"/>
                            <w:szCs w:val="20"/>
                            <w:lang w:val="en-US"/>
                          </w:rPr>
                          <w:t>7</w:t>
                        </w:r>
                      </w:p>
                    </w:txbxContent>
                  </v:textbox>
                </v:rect>
                <v:rect id="Rectangle 18" o:spid="_x0000_s1036" style="position:absolute;left:5435;top:5588;width:7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CuvwAAANwAAAAPAAAAZHJzL2Rvd25yZXYueG1sRE/NisIw&#10;EL4v+A5hBG9rqofFr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8+ICuvwAAANwAAAAPAAAAAAAA&#10;AAAAAAAAAAcCAABkcnMvZG93bnJldi54bWxQSwUGAAAAAAMAAwC3AAAA8wIAAAAA&#10;" filled="f" stroked="f">
                  <v:textbox style="mso-fit-shape-to-text:t" inset="0,0,0,0">
                    <w:txbxContent>
                      <w:p w14:paraId="3D872B22" w14:textId="77777777" w:rsidR="000F0042" w:rsidRDefault="000F0042" w:rsidP="000F0042">
                        <w:r>
                          <w:rPr>
                            <w:rFonts w:ascii="Arial" w:hAnsi="Arial" w:cs="Arial"/>
                            <w:b/>
                            <w:bCs/>
                            <w:color w:val="000000"/>
                            <w:sz w:val="20"/>
                            <w:szCs w:val="20"/>
                            <w:lang w:val="en-US"/>
                          </w:rPr>
                          <w:t>1</w:t>
                        </w:r>
                      </w:p>
                    </w:txbxContent>
                  </v:textbox>
                </v:rect>
                <v:rect id="Rectangle 19" o:spid="_x0000_s1037" style="position:absolute;left:10293;top:5588;width:7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" filled="f" stroked="f">
                  <v:textbox style="mso-fit-shape-to-text:t" inset="0,0,0,0">
                    <w:txbxContent>
                      <w:p w14:paraId="48062640" w14:textId="77777777" w:rsidR="000F0042" w:rsidRDefault="000F0042" w:rsidP="000F0042">
                        <w:r>
                          <w:rPr>
                            <w:rFonts w:ascii="Arial" w:hAnsi="Arial" w:cs="Arial"/>
                            <w:b/>
                            <w:bCs/>
                            <w:color w:val="000000"/>
                            <w:sz w:val="20"/>
                            <w:szCs w:val="20"/>
                            <w:lang w:val="en-US"/>
                          </w:rPr>
                          <w:t>2</w:t>
                        </w:r>
                      </w:p>
                    </w:txbxContent>
                  </v:textbox>
                </v:rect>
                <v:rect id="Rectangle 20" o:spid="_x0000_s1038" style="position:absolute;left:15151;top:5588;width:7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" filled="f" stroked="f">
                  <v:textbox style="mso-fit-shape-to-text:t" inset="0,0,0,0">
                    <w:txbxContent>
                      <w:p w14:paraId="386920D2" w14:textId="77777777" w:rsidR="000F0042" w:rsidRDefault="000F0042" w:rsidP="000F0042">
                        <w:r>
                          <w:rPr>
                            <w:rFonts w:ascii="Arial" w:hAnsi="Arial" w:cs="Arial"/>
                            <w:b/>
                            <w:bCs/>
                            <w:color w:val="000000"/>
                            <w:sz w:val="20"/>
                            <w:szCs w:val="20"/>
                            <w:lang w:val="en-US"/>
                          </w:rPr>
                          <w:t>3</w:t>
                        </w:r>
                      </w:p>
                    </w:txbxContent>
                  </v:textbox>
                </v:rect>
                <v:rect id="Rectangle 21" o:spid="_x0000_s1039" style="position:absolute;left:20002;top:5588;width:7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" filled="f" stroked="f">
                  <v:textbox style="mso-fit-shape-to-text:t" inset="0,0,0,0">
                    <w:txbxContent>
                      <w:p w14:paraId="548A78C8" w14:textId="77777777" w:rsidR="000F0042" w:rsidRDefault="000F0042" w:rsidP="000F0042">
                        <w:r>
                          <w:rPr>
                            <w:rFonts w:ascii="Arial" w:hAnsi="Arial" w:cs="Arial"/>
                            <w:b/>
                            <w:bCs/>
                            <w:color w:val="000000"/>
                            <w:sz w:val="20"/>
                            <w:szCs w:val="20"/>
                            <w:lang w:val="en-US"/>
                          </w:rPr>
                          <w:t>4</w:t>
                        </w:r>
                      </w:p>
                    </w:txbxContent>
                  </v:textbox>
                </v:rect>
                <v:line id="Line 22" o:spid="_x0000_s1040" style="position:absolute;visibility:visible;mso-wrap-style:square" from="3257,4978" to="3257,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" strokeweight="0"/>
                <v:rect id="Rectangle 23" o:spid="_x0000_s1041" style="position:absolute;left:3257;top:4978;width:95;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" fillcolor="black" stroked="f"/>
                <v:rect id="Rectangle 25" o:spid="_x0000_s1042" style="position:absolute;left:8115;top:5080;width:9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" fillcolor="black" stroked="f"/>
                <v:line id="Line 26" o:spid="_x0000_s1043" style="position:absolute;visibility:visible;mso-wrap-style:square" from="12966,5080" to="12966,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" strokeweight="0"/>
                <v:rect id="Rectangle 27" o:spid="_x0000_s1044" style="position:absolute;left:12966;top:5080;width:10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" fillcolor="black" stroked="f"/>
                <v:line id="Line 28" o:spid="_x0000_s1045" style="position:absolute;visibility:visible;mso-wrap-style:square" from="17824,5080" to="17824,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" strokeweight="0"/>
                <v:rect id="Rectangle 29" o:spid="_x0000_s1046" style="position:absolute;left:17824;top:5080;width:9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" fillcolor="black" stroked="f"/>
                <v:line id="Line 30" o:spid="_x0000_s1047" style="position:absolute;visibility:visible;mso-wrap-style:square" from="22682,5080" to="22682,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" strokeweight="0"/>
                <v:rect id="Rectangle 31" o:spid="_x0000_s1048" style="position:absolute;left:22682;top:5080;width:9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" fillcolor="black" stroked="f"/>
                <v:line id="Line 32" o:spid="_x0000_s1049" style="position:absolute;visibility:visible;mso-wrap-style:square" from="27533,5080" to="27533,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" strokeweight="0"/>
                <v:rect id="Rectangle 33" o:spid="_x0000_s1050" style="position:absolute;left:27533;top:5080;width:10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34" o:spid="_x0000_s1051" style="position:absolute;visibility:visible;mso-wrap-style:square" from="32391,5080" to="32391,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" strokeweight="0"/>
                <v:rect id="Rectangle 35" o:spid="_x0000_s1052" style="position:absolute;left:32391;top:5080;width:9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" fillcolor="black" stroked="f"/>
                <v:line id="Line 36" o:spid="_x0000_s1053" style="position:absolute;visibility:visible;mso-wrap-style:square" from="37249,5080" to="37249,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" strokeweight="0"/>
                <v:rect id="Rectangle 37" o:spid="_x0000_s1054" style="position:absolute;left:37249;top:5080;width:9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" fillcolor="black" stroked="f"/>
                <v:rect id="Rectangle 39" o:spid="_x0000_s1055" style="position:absolute;left:3352;top:4978;width:3399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" fillcolor="black" stroked="f"/>
                <v:rect id="Rectangle 41" o:spid="_x0000_s1056" style="position:absolute;left:3352;top:7645;width:3399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" fillcolor="black" stroked="f"/>
                <v:shape id="Freeform 42" o:spid="_x0000_s1057" style="position:absolute;left:3489;top:3902;width:33992;height:648;visibility:visible;mso-wrap-style:square;v-text-anchor:top" coordsize="5353,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" path="m80,34r5194,l5274,68,80,68r,-34xm95,102l,51,95,r,102xm5258,r95,51l5258,102,5258,xe" fillcolor="gray" strokecolor="gray" strokeweight=".1pt">
                  <v:stroke joinstyle="bevel"/>
                  <v:path arrowok="t" o:connecttype="custom" o:connectlocs="50800,21590;3348990,21590;3348990,43180;50800,43180;50800,21590;60325,64770;0,32385;60325,0;60325,64770;3338830,0;3399155,32385;3338830,64770;3338830,0" o:connectangles="0,0,0,0,0,0,0,0,0,0,0,0,0"/>
                  <o:lock v:ext="edit" verticies="t"/>
                </v:shape>
                <w10:wrap anchorx="margin"/>
              </v:group>
            </w:pict>
          </mc:Fallback>
        </mc:AlternateContent>
      </w:r>
    </w:p>
    <w:p w14:paraId="2C146840" w14:textId="2A62AE15" w:rsidR="000F0042" w:rsidRDefault="000F0042" w:rsidP="00DC6D29">
      <w:pPr>
        <w:tabs>
          <w:tab w:val="left" w:pos="284"/>
        </w:tabs>
        <w:jc w:val="both"/>
        <w:rPr>
          <w:rFonts w:asciiTheme="minorHAnsi" w:hAnsiTheme="minorHAnsi" w:cstheme="minorHAnsi"/>
          <w:sz w:val="22"/>
          <w:szCs w:val="22"/>
        </w:rPr>
      </w:pPr>
    </w:p>
    <w:p w14:paraId="4BD1E66D" w14:textId="286B7E0B" w:rsidR="000F0042" w:rsidRDefault="000F0042" w:rsidP="00DC6D29">
      <w:pPr>
        <w:tabs>
          <w:tab w:val="left" w:pos="284"/>
        </w:tabs>
        <w:jc w:val="both"/>
        <w:rPr>
          <w:rFonts w:asciiTheme="minorHAnsi" w:hAnsiTheme="minorHAnsi" w:cstheme="minorHAnsi"/>
          <w:sz w:val="22"/>
          <w:szCs w:val="22"/>
        </w:rPr>
      </w:pPr>
    </w:p>
    <w:p w14:paraId="64472C99" w14:textId="78921D5C" w:rsidR="000F0042" w:rsidRDefault="000F0042" w:rsidP="00DC6D29">
      <w:pPr>
        <w:tabs>
          <w:tab w:val="left" w:pos="284"/>
        </w:tabs>
        <w:jc w:val="both"/>
        <w:rPr>
          <w:rFonts w:asciiTheme="minorHAnsi" w:hAnsiTheme="minorHAnsi" w:cstheme="minorHAnsi"/>
          <w:sz w:val="22"/>
          <w:szCs w:val="22"/>
        </w:rPr>
      </w:pPr>
    </w:p>
    <w:p w14:paraId="627C9279" w14:textId="4D2AB5F9" w:rsidR="000F0042" w:rsidRDefault="000F0042" w:rsidP="00DC6D29">
      <w:pPr>
        <w:tabs>
          <w:tab w:val="left" w:pos="284"/>
        </w:tabs>
        <w:jc w:val="both"/>
        <w:rPr>
          <w:rFonts w:asciiTheme="minorHAnsi" w:hAnsiTheme="minorHAnsi" w:cstheme="minorHAnsi"/>
          <w:sz w:val="22"/>
          <w:szCs w:val="22"/>
        </w:rPr>
      </w:pPr>
    </w:p>
    <w:p w14:paraId="7A93DCC2" w14:textId="1588ED60" w:rsidR="00C7645A" w:rsidRDefault="00C7645A" w:rsidP="00DC6D29">
      <w:pPr>
        <w:tabs>
          <w:tab w:val="left" w:pos="284"/>
        </w:tabs>
        <w:jc w:val="both"/>
        <w:rPr>
          <w:rFonts w:asciiTheme="minorHAnsi" w:hAnsiTheme="minorHAnsi" w:cstheme="minorHAnsi"/>
          <w:sz w:val="22"/>
          <w:szCs w:val="22"/>
        </w:rPr>
      </w:pPr>
    </w:p>
    <w:p w14:paraId="410728C2" w14:textId="77777777" w:rsidR="00C7645A" w:rsidRDefault="00C7645A" w:rsidP="00DC6D29">
      <w:pPr>
        <w:tabs>
          <w:tab w:val="left" w:pos="284"/>
        </w:tabs>
        <w:jc w:val="both"/>
        <w:rPr>
          <w:rFonts w:asciiTheme="minorHAnsi" w:hAnsiTheme="minorHAnsi" w:cstheme="minorHAnsi"/>
          <w:sz w:val="22"/>
          <w:szCs w:val="22"/>
        </w:rPr>
      </w:pPr>
    </w:p>
    <w:p w14:paraId="0BC98DDA" w14:textId="77777777" w:rsidR="00272499" w:rsidRPr="00985718" w:rsidRDefault="00272499" w:rsidP="00272499">
      <w:pPr>
        <w:pStyle w:val="Paragraphedeliste"/>
        <w:numPr>
          <w:ilvl w:val="0"/>
          <w:numId w:val="45"/>
        </w:numPr>
        <w:spacing w:after="120" w:line="259" w:lineRule="auto"/>
        <w:jc w:val="both"/>
        <w:outlineLvl w:val="0"/>
        <w:rPr>
          <w:rFonts w:asciiTheme="minorHAnsi" w:eastAsia="MS Mincho" w:hAnsiTheme="minorHAnsi" w:cstheme="minorHAnsi"/>
          <w:b/>
          <w:color w:val="002060"/>
          <w:sz w:val="22"/>
          <w:szCs w:val="22"/>
        </w:rPr>
      </w:pPr>
      <w:r w:rsidRPr="00985718">
        <w:rPr>
          <w:rFonts w:asciiTheme="minorHAnsi" w:eastAsia="MS Mincho" w:hAnsiTheme="minorHAnsi" w:cstheme="minorHAnsi"/>
          <w:b/>
          <w:color w:val="002060"/>
          <w:sz w:val="22"/>
          <w:szCs w:val="22"/>
        </w:rPr>
        <w:t xml:space="preserve">Frais ex-ante </w:t>
      </w:r>
      <w:proofErr w:type="spellStart"/>
      <w:r w:rsidRPr="00985718">
        <w:rPr>
          <w:rFonts w:asciiTheme="minorHAnsi" w:eastAsia="MS Mincho" w:hAnsiTheme="minorHAnsi" w:cstheme="minorHAnsi"/>
          <w:b/>
          <w:color w:val="002060"/>
          <w:sz w:val="22"/>
          <w:szCs w:val="22"/>
        </w:rPr>
        <w:t>European</w:t>
      </w:r>
      <w:proofErr w:type="spellEnd"/>
      <w:r w:rsidRPr="00985718">
        <w:rPr>
          <w:rFonts w:asciiTheme="minorHAnsi" w:eastAsia="MS Mincho" w:hAnsiTheme="minorHAnsi" w:cstheme="minorHAnsi"/>
          <w:b/>
          <w:color w:val="002060"/>
          <w:sz w:val="22"/>
          <w:szCs w:val="22"/>
        </w:rPr>
        <w:t xml:space="preserve"> MIFID Template (EMT) </w:t>
      </w:r>
    </w:p>
    <w:p w14:paraId="48FEA29F" w14:textId="67CE81AA" w:rsidR="00CC2E5D" w:rsidRPr="00CC2E5D" w:rsidRDefault="00CC2E5D" w:rsidP="00CC2E5D">
      <w:pPr>
        <w:jc w:val="both"/>
        <w:rPr>
          <w:rFonts w:asciiTheme="minorHAnsi" w:eastAsiaTheme="minorHAnsi" w:hAnsiTheme="minorHAnsi" w:cstheme="minorHAnsi"/>
          <w:sz w:val="22"/>
          <w:szCs w:val="22"/>
          <w:lang w:eastAsia="en-US"/>
        </w:rPr>
      </w:pPr>
      <w:r w:rsidRPr="00CC2E5D">
        <w:rPr>
          <w:rFonts w:asciiTheme="minorHAnsi" w:eastAsiaTheme="minorHAnsi" w:hAnsiTheme="minorHAnsi" w:cstheme="minorHAnsi"/>
          <w:sz w:val="22"/>
          <w:szCs w:val="22"/>
          <w:lang w:eastAsia="en-US"/>
        </w:rPr>
        <w:t>Ces coûts sont calculés sur la base d’un investissement d’un montant de 100 000 €</w:t>
      </w:r>
      <w:r w:rsidR="00DD1700">
        <w:rPr>
          <w:rFonts w:asciiTheme="minorHAnsi" w:eastAsiaTheme="minorHAnsi" w:hAnsiTheme="minorHAnsi" w:cstheme="minorHAnsi"/>
          <w:sz w:val="22"/>
          <w:szCs w:val="22"/>
          <w:lang w:eastAsia="en-US"/>
        </w:rPr>
        <w:t xml:space="preserve"> (part </w:t>
      </w:r>
      <w:r w:rsidR="00F35151">
        <w:rPr>
          <w:rFonts w:asciiTheme="minorHAnsi" w:eastAsiaTheme="minorHAnsi" w:hAnsiTheme="minorHAnsi" w:cstheme="minorHAnsi"/>
          <w:sz w:val="22"/>
          <w:szCs w:val="22"/>
          <w:lang w:eastAsia="en-US"/>
        </w:rPr>
        <w:t>R</w:t>
      </w:r>
      <w:r w:rsidR="00DD1700">
        <w:rPr>
          <w:rFonts w:asciiTheme="minorHAnsi" w:eastAsiaTheme="minorHAnsi" w:hAnsiTheme="minorHAnsi" w:cstheme="minorHAnsi"/>
          <w:sz w:val="22"/>
          <w:szCs w:val="22"/>
          <w:lang w:eastAsia="en-US"/>
        </w:rPr>
        <w:t xml:space="preserve">) </w:t>
      </w:r>
      <w:r w:rsidRPr="00CC2E5D">
        <w:rPr>
          <w:rFonts w:asciiTheme="minorHAnsi" w:eastAsiaTheme="minorHAnsi" w:hAnsiTheme="minorHAnsi" w:cstheme="minorHAnsi"/>
          <w:sz w:val="22"/>
          <w:szCs w:val="22"/>
          <w:lang w:eastAsia="en-US"/>
        </w:rPr>
        <w:t xml:space="preserve">pour l’année de souscription du produit. Les informations sur les coûts et les frais du fonds </w:t>
      </w:r>
      <w:r w:rsidR="00035A4B">
        <w:rPr>
          <w:rFonts w:asciiTheme="minorHAnsi" w:eastAsiaTheme="minorHAnsi" w:hAnsiTheme="minorHAnsi" w:cstheme="minorHAnsi"/>
          <w:sz w:val="22"/>
          <w:szCs w:val="22"/>
          <w:lang w:eastAsia="en-US"/>
        </w:rPr>
        <w:t xml:space="preserve">PPG </w:t>
      </w:r>
      <w:r w:rsidR="00345B30">
        <w:rPr>
          <w:rFonts w:asciiTheme="minorHAnsi" w:eastAsiaTheme="minorHAnsi" w:hAnsiTheme="minorHAnsi" w:cstheme="minorHAnsi"/>
          <w:sz w:val="22"/>
          <w:szCs w:val="22"/>
          <w:lang w:eastAsia="en-US"/>
        </w:rPr>
        <w:t xml:space="preserve">EDESIA </w:t>
      </w:r>
      <w:r w:rsidRPr="00CC2E5D">
        <w:rPr>
          <w:rFonts w:asciiTheme="minorHAnsi" w:eastAsiaTheme="minorHAnsi" w:hAnsiTheme="minorHAnsi" w:cstheme="minorHAnsi"/>
          <w:sz w:val="22"/>
          <w:szCs w:val="22"/>
          <w:lang w:eastAsia="en-US"/>
        </w:rPr>
        <w:t>sont établis à partir du fichier EMT établi par la société de gestion. Les données sont annualisées.</w:t>
      </w:r>
    </w:p>
    <w:p w14:paraId="6BB17DDC" w14:textId="77777777" w:rsidR="00CC2E5D" w:rsidRPr="00CC2E5D" w:rsidRDefault="00CC2E5D" w:rsidP="00CC2E5D">
      <w:pPr>
        <w:jc w:val="both"/>
        <w:rPr>
          <w:rFonts w:asciiTheme="minorHAnsi" w:eastAsiaTheme="minorHAnsi" w:hAnsiTheme="minorHAnsi" w:cstheme="minorHAnsi"/>
          <w:sz w:val="22"/>
          <w:szCs w:val="22"/>
          <w:lang w:eastAsia="en-US"/>
        </w:rPr>
      </w:pPr>
    </w:p>
    <w:p w14:paraId="1336416F" w14:textId="1F929FBF" w:rsidR="00CC2E5D" w:rsidRPr="00CC2E5D" w:rsidRDefault="00CC2E5D" w:rsidP="0B3C2BAA">
      <w:pPr>
        <w:jc w:val="both"/>
        <w:rPr>
          <w:rFonts w:asciiTheme="minorHAnsi" w:eastAsiaTheme="minorEastAsia" w:hAnsiTheme="minorHAnsi" w:cstheme="minorBidi"/>
          <w:sz w:val="22"/>
          <w:szCs w:val="22"/>
          <w:lang w:eastAsia="en-US"/>
        </w:rPr>
      </w:pPr>
      <w:r w:rsidRPr="00374F16">
        <w:rPr>
          <w:rFonts w:asciiTheme="minorHAnsi" w:eastAsiaTheme="minorEastAsia" w:hAnsiTheme="minorHAnsi" w:cstheme="minorBidi"/>
          <w:sz w:val="22"/>
          <w:szCs w:val="22"/>
          <w:lang w:eastAsia="en-US"/>
        </w:rPr>
        <w:t>Le tableau ci-dessous résume l’ensemble des frais liés à votre investissement dans l’hypothèse d’absence de frais liés aux services (honoraires de CIF) mais de frais (courants et d’entrée) maximum perçus par le CIF</w:t>
      </w:r>
      <w:r w:rsidR="00374F16" w:rsidRPr="00374F16">
        <w:rPr>
          <w:rFonts w:asciiTheme="minorHAnsi" w:eastAsiaTheme="minorEastAsia" w:hAnsiTheme="minorHAnsi" w:cstheme="minorBidi"/>
          <w:sz w:val="22"/>
          <w:szCs w:val="22"/>
          <w:lang w:eastAsia="en-US"/>
        </w:rPr>
        <w:t xml:space="preserve">. Ces frais </w:t>
      </w:r>
      <w:r w:rsidR="00176EE2">
        <w:rPr>
          <w:rFonts w:asciiTheme="minorHAnsi" w:eastAsiaTheme="minorEastAsia" w:hAnsiTheme="minorHAnsi" w:cstheme="minorBidi"/>
          <w:sz w:val="22"/>
          <w:szCs w:val="22"/>
          <w:lang w:eastAsia="en-US"/>
        </w:rPr>
        <w:t xml:space="preserve">en </w:t>
      </w:r>
      <w:r w:rsidR="00176EE2" w:rsidRPr="00176EE2">
        <w:rPr>
          <w:rFonts w:asciiTheme="minorHAnsi" w:eastAsiaTheme="minorEastAsia" w:hAnsiTheme="minorHAnsi" w:cstheme="minorBidi"/>
          <w:sz w:val="22"/>
          <w:szCs w:val="22"/>
          <w:highlight w:val="yellow"/>
          <w:lang w:eastAsia="en-US"/>
        </w:rPr>
        <w:t>surbrillance</w:t>
      </w:r>
      <w:r w:rsidR="00176EE2">
        <w:rPr>
          <w:rFonts w:asciiTheme="minorHAnsi" w:eastAsiaTheme="minorEastAsia" w:hAnsiTheme="minorHAnsi" w:cstheme="minorBidi"/>
          <w:sz w:val="22"/>
          <w:szCs w:val="22"/>
          <w:lang w:eastAsia="en-US"/>
        </w:rPr>
        <w:t xml:space="preserve"> </w:t>
      </w:r>
      <w:r w:rsidR="00374F16" w:rsidRPr="00374F16">
        <w:rPr>
          <w:rFonts w:asciiTheme="minorHAnsi" w:eastAsiaTheme="minorEastAsia" w:hAnsiTheme="minorHAnsi" w:cstheme="minorBidi"/>
          <w:sz w:val="22"/>
          <w:szCs w:val="22"/>
          <w:lang w:eastAsia="en-US"/>
        </w:rPr>
        <w:t>sont à adapter par le CIF en fonction des taux appliqués.</w:t>
      </w:r>
    </w:p>
    <w:tbl>
      <w:tblPr>
        <w:tblpPr w:leftFromText="142" w:rightFromText="142" w:vertAnchor="text" w:horzAnchor="page" w:tblpX="651" w:tblpY="237"/>
        <w:tblW w:w="10605" w:type="dxa"/>
        <w:tblCellMar>
          <w:left w:w="70" w:type="dxa"/>
          <w:right w:w="70" w:type="dxa"/>
        </w:tblCellMar>
        <w:tblLook w:val="04A0" w:firstRow="1" w:lastRow="0" w:firstColumn="1" w:lastColumn="0" w:noHBand="0" w:noVBand="1"/>
      </w:tblPr>
      <w:tblGrid>
        <w:gridCol w:w="7645"/>
        <w:gridCol w:w="1559"/>
        <w:gridCol w:w="1401"/>
      </w:tblGrid>
      <w:tr w:rsidR="00770FB3" w:rsidRPr="0029329A" w14:paraId="1158FC14" w14:textId="77777777" w:rsidTr="0B3C2BAA">
        <w:trPr>
          <w:trHeight w:val="216"/>
        </w:trPr>
        <w:tc>
          <w:tcPr>
            <w:tcW w:w="7645" w:type="dxa"/>
            <w:tcBorders>
              <w:top w:val="single" w:sz="8" w:space="0" w:color="auto"/>
              <w:left w:val="single" w:sz="8" w:space="0" w:color="auto"/>
              <w:bottom w:val="single" w:sz="4" w:space="0" w:color="000000" w:themeColor="text1"/>
              <w:right w:val="single" w:sz="4" w:space="0" w:color="000000" w:themeColor="text1"/>
            </w:tcBorders>
            <w:shd w:val="clear" w:color="auto" w:fill="BCD5ED"/>
            <w:hideMark/>
          </w:tcPr>
          <w:p w14:paraId="0D4573AE" w14:textId="65B8FEA7" w:rsidR="00770FB3" w:rsidRPr="0029329A" w:rsidRDefault="00770FB3" w:rsidP="00770FB3">
            <w:pP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 xml:space="preserve">Sur la base d’un investissement de </w:t>
            </w:r>
            <w:r w:rsidRPr="00E15963">
              <w:rPr>
                <w:rFonts w:asciiTheme="minorHAnsi" w:hAnsiTheme="minorHAnsi" w:cstheme="minorHAnsi"/>
                <w:b/>
                <w:bCs/>
                <w:color w:val="000000" w:themeColor="text1"/>
                <w:sz w:val="22"/>
                <w:szCs w:val="22"/>
                <w:highlight w:val="yellow"/>
              </w:rPr>
              <w:t>100 000</w:t>
            </w:r>
            <w:r w:rsidRPr="0029329A">
              <w:rPr>
                <w:rFonts w:asciiTheme="minorHAnsi" w:hAnsiTheme="minorHAnsi" w:cstheme="minorHAnsi"/>
                <w:b/>
                <w:bCs/>
                <w:color w:val="000000" w:themeColor="text1"/>
                <w:sz w:val="22"/>
                <w:szCs w:val="22"/>
              </w:rPr>
              <w:t xml:space="preserve"> euros dans PPG </w:t>
            </w:r>
            <w:r w:rsidR="00E33248">
              <w:rPr>
                <w:rFonts w:asciiTheme="minorHAnsi" w:hAnsiTheme="minorHAnsi" w:cstheme="minorHAnsi"/>
                <w:b/>
                <w:bCs/>
                <w:color w:val="000000" w:themeColor="text1"/>
                <w:sz w:val="22"/>
                <w:szCs w:val="22"/>
              </w:rPr>
              <w:t>Edesia</w:t>
            </w:r>
            <w:r w:rsidRPr="0029329A">
              <w:rPr>
                <w:rFonts w:asciiTheme="minorHAnsi" w:hAnsiTheme="minorHAnsi" w:cstheme="minorHAnsi"/>
                <w:b/>
                <w:bCs/>
                <w:color w:val="000000" w:themeColor="text1"/>
                <w:sz w:val="22"/>
                <w:szCs w:val="22"/>
              </w:rPr>
              <w:t xml:space="preserve"> </w:t>
            </w:r>
            <w:r w:rsidR="00D70E58">
              <w:rPr>
                <w:rFonts w:asciiTheme="minorHAnsi" w:hAnsiTheme="minorHAnsi" w:cstheme="minorHAnsi"/>
                <w:b/>
                <w:bCs/>
                <w:color w:val="000000" w:themeColor="text1"/>
                <w:sz w:val="22"/>
                <w:szCs w:val="22"/>
              </w:rPr>
              <w:t xml:space="preserve">(parts </w:t>
            </w:r>
            <w:r w:rsidR="00F35151">
              <w:rPr>
                <w:rFonts w:asciiTheme="minorHAnsi" w:hAnsiTheme="minorHAnsi" w:cstheme="minorHAnsi"/>
                <w:b/>
                <w:bCs/>
                <w:color w:val="000000" w:themeColor="text1"/>
                <w:sz w:val="22"/>
                <w:szCs w:val="22"/>
              </w:rPr>
              <w:t>R</w:t>
            </w:r>
            <w:r w:rsidR="00D70E58">
              <w:rPr>
                <w:rFonts w:asciiTheme="minorHAnsi" w:hAnsiTheme="minorHAnsi" w:cstheme="minorHAnsi"/>
                <w:b/>
                <w:bCs/>
                <w:color w:val="000000" w:themeColor="text1"/>
                <w:sz w:val="22"/>
                <w:szCs w:val="22"/>
              </w:rPr>
              <w:t>)</w:t>
            </w:r>
            <w:r w:rsidR="00374F16">
              <w:rPr>
                <w:rFonts w:asciiTheme="minorHAnsi" w:hAnsiTheme="minorHAnsi" w:cstheme="minorHAnsi"/>
                <w:b/>
                <w:bCs/>
                <w:color w:val="000000" w:themeColor="text1"/>
                <w:sz w:val="22"/>
                <w:szCs w:val="22"/>
              </w:rPr>
              <w:t xml:space="preserve"> </w:t>
            </w:r>
            <w:r w:rsidRPr="0029329A">
              <w:rPr>
                <w:rFonts w:asciiTheme="minorHAnsi" w:hAnsiTheme="minorHAnsi" w:cstheme="minorHAnsi"/>
                <w:b/>
                <w:bCs/>
                <w:color w:val="000000" w:themeColor="text1"/>
                <w:sz w:val="22"/>
                <w:szCs w:val="22"/>
              </w:rPr>
              <w:t>:</w:t>
            </w:r>
          </w:p>
        </w:tc>
        <w:tc>
          <w:tcPr>
            <w:tcW w:w="1559" w:type="dxa"/>
            <w:tcBorders>
              <w:top w:val="single" w:sz="8" w:space="0" w:color="auto"/>
              <w:left w:val="nil"/>
              <w:bottom w:val="single" w:sz="4" w:space="0" w:color="000000" w:themeColor="text1"/>
              <w:right w:val="single" w:sz="4" w:space="0" w:color="000000" w:themeColor="text1"/>
            </w:tcBorders>
            <w:shd w:val="clear" w:color="auto" w:fill="BCD5ED"/>
            <w:vAlign w:val="center"/>
            <w:hideMark/>
          </w:tcPr>
          <w:p w14:paraId="3C738991" w14:textId="77777777" w:rsidR="00770FB3" w:rsidRPr="0029329A" w:rsidRDefault="00770FB3" w:rsidP="00512889">
            <w:pPr>
              <w:jc w:val="cente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En €</w:t>
            </w:r>
          </w:p>
        </w:tc>
        <w:tc>
          <w:tcPr>
            <w:tcW w:w="1401" w:type="dxa"/>
            <w:tcBorders>
              <w:top w:val="single" w:sz="8" w:space="0" w:color="auto"/>
              <w:left w:val="nil"/>
              <w:bottom w:val="single" w:sz="4" w:space="0" w:color="000000" w:themeColor="text1"/>
              <w:right w:val="single" w:sz="8" w:space="0" w:color="000000" w:themeColor="text1"/>
            </w:tcBorders>
            <w:shd w:val="clear" w:color="auto" w:fill="BCD5ED"/>
            <w:vAlign w:val="center"/>
            <w:hideMark/>
          </w:tcPr>
          <w:p w14:paraId="377151B9" w14:textId="77777777" w:rsidR="00770FB3" w:rsidRPr="0029329A" w:rsidRDefault="00770FB3" w:rsidP="00512889">
            <w:pPr>
              <w:jc w:val="cente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En %</w:t>
            </w:r>
          </w:p>
        </w:tc>
      </w:tr>
      <w:tr w:rsidR="00770FB3" w:rsidRPr="0029329A" w14:paraId="613595F0" w14:textId="77777777" w:rsidTr="0B3C2BAA">
        <w:trPr>
          <w:trHeight w:val="216"/>
        </w:trPr>
        <w:tc>
          <w:tcPr>
            <w:tcW w:w="7645" w:type="dxa"/>
            <w:tcBorders>
              <w:top w:val="single" w:sz="8" w:space="0" w:color="auto"/>
              <w:left w:val="single" w:sz="8" w:space="0" w:color="auto"/>
              <w:bottom w:val="single" w:sz="4" w:space="0" w:color="000000" w:themeColor="text1"/>
              <w:right w:val="single" w:sz="4" w:space="0" w:color="000000" w:themeColor="text1"/>
            </w:tcBorders>
            <w:shd w:val="clear" w:color="auto" w:fill="BCD5ED"/>
          </w:tcPr>
          <w:p w14:paraId="1DCB44E3" w14:textId="77777777" w:rsidR="00770FB3" w:rsidRPr="0029329A" w:rsidRDefault="00770FB3" w:rsidP="00770FB3">
            <w:pPr>
              <w:rPr>
                <w:rFonts w:asciiTheme="minorHAnsi" w:hAnsiTheme="minorHAnsi" w:cstheme="minorHAnsi"/>
                <w:b/>
                <w:bCs/>
                <w:color w:val="000000" w:themeColor="text1"/>
                <w:sz w:val="22"/>
                <w:szCs w:val="22"/>
              </w:rPr>
            </w:pPr>
          </w:p>
        </w:tc>
        <w:tc>
          <w:tcPr>
            <w:tcW w:w="1559" w:type="dxa"/>
            <w:tcBorders>
              <w:top w:val="single" w:sz="8" w:space="0" w:color="auto"/>
              <w:left w:val="nil"/>
              <w:bottom w:val="single" w:sz="4" w:space="0" w:color="000000" w:themeColor="text1"/>
              <w:right w:val="single" w:sz="4" w:space="0" w:color="000000" w:themeColor="text1"/>
            </w:tcBorders>
            <w:shd w:val="clear" w:color="auto" w:fill="BCD5ED"/>
            <w:vAlign w:val="center"/>
          </w:tcPr>
          <w:p w14:paraId="1A1E8618" w14:textId="77777777" w:rsidR="00770FB3" w:rsidRPr="0029329A" w:rsidRDefault="00770FB3" w:rsidP="00512889">
            <w:pPr>
              <w:jc w:val="center"/>
              <w:rPr>
                <w:rFonts w:asciiTheme="minorHAnsi" w:hAnsiTheme="minorHAnsi" w:cstheme="minorHAnsi"/>
                <w:b/>
                <w:bCs/>
                <w:color w:val="000000" w:themeColor="text1"/>
                <w:sz w:val="22"/>
                <w:szCs w:val="22"/>
              </w:rPr>
            </w:pPr>
          </w:p>
        </w:tc>
        <w:tc>
          <w:tcPr>
            <w:tcW w:w="1401" w:type="dxa"/>
            <w:tcBorders>
              <w:top w:val="single" w:sz="8" w:space="0" w:color="auto"/>
              <w:left w:val="nil"/>
              <w:bottom w:val="single" w:sz="4" w:space="0" w:color="000000" w:themeColor="text1"/>
              <w:right w:val="single" w:sz="8" w:space="0" w:color="000000" w:themeColor="text1"/>
            </w:tcBorders>
            <w:shd w:val="clear" w:color="auto" w:fill="BCD5ED"/>
            <w:vAlign w:val="center"/>
          </w:tcPr>
          <w:p w14:paraId="200B0117" w14:textId="77777777" w:rsidR="00770FB3" w:rsidRPr="0029329A" w:rsidRDefault="00770FB3" w:rsidP="00512889">
            <w:pPr>
              <w:jc w:val="center"/>
              <w:rPr>
                <w:rFonts w:asciiTheme="minorHAnsi" w:hAnsiTheme="minorHAnsi" w:cstheme="minorHAnsi"/>
                <w:b/>
                <w:bCs/>
                <w:color w:val="000000" w:themeColor="text1"/>
                <w:sz w:val="22"/>
                <w:szCs w:val="22"/>
              </w:rPr>
            </w:pPr>
          </w:p>
        </w:tc>
      </w:tr>
      <w:tr w:rsidR="00770FB3" w:rsidRPr="0029329A" w14:paraId="5BFE58AF" w14:textId="77777777" w:rsidTr="0B3C2BAA">
        <w:trPr>
          <w:trHeight w:val="216"/>
        </w:trPr>
        <w:tc>
          <w:tcPr>
            <w:tcW w:w="7645" w:type="dxa"/>
            <w:tcBorders>
              <w:top w:val="single" w:sz="4" w:space="0" w:color="000000" w:themeColor="text1"/>
              <w:left w:val="single" w:sz="8" w:space="0" w:color="auto"/>
              <w:bottom w:val="single" w:sz="4" w:space="0" w:color="000000" w:themeColor="text1"/>
              <w:right w:val="single" w:sz="4" w:space="0" w:color="000000" w:themeColor="text1"/>
            </w:tcBorders>
            <w:shd w:val="clear" w:color="auto" w:fill="DEEAF6"/>
            <w:hideMark/>
          </w:tcPr>
          <w:p w14:paraId="5FC5F612" w14:textId="77777777" w:rsidR="00770FB3" w:rsidRPr="0029329A" w:rsidRDefault="00770FB3" w:rsidP="00770FB3">
            <w:pP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Coûts liés aux services</w:t>
            </w:r>
          </w:p>
        </w:tc>
        <w:tc>
          <w:tcPr>
            <w:tcW w:w="1559" w:type="dxa"/>
            <w:tcBorders>
              <w:top w:val="single" w:sz="4" w:space="0" w:color="000000" w:themeColor="text1"/>
              <w:left w:val="nil"/>
              <w:bottom w:val="single" w:sz="4" w:space="0" w:color="000000" w:themeColor="text1"/>
              <w:right w:val="single" w:sz="4" w:space="0" w:color="000000" w:themeColor="text1"/>
            </w:tcBorders>
            <w:shd w:val="clear" w:color="auto" w:fill="DEEAF6"/>
            <w:noWrap/>
            <w:vAlign w:val="center"/>
            <w:hideMark/>
          </w:tcPr>
          <w:p w14:paraId="487E013B" w14:textId="77777777" w:rsidR="00770FB3" w:rsidRPr="0029329A" w:rsidRDefault="00770FB3" w:rsidP="00512889">
            <w:pPr>
              <w:jc w:val="center"/>
              <w:rPr>
                <w:rFonts w:asciiTheme="minorHAnsi" w:hAnsiTheme="minorHAnsi" w:cstheme="minorHAnsi"/>
                <w:b/>
                <w:color w:val="000000" w:themeColor="text1"/>
                <w:sz w:val="22"/>
                <w:szCs w:val="22"/>
              </w:rPr>
            </w:pPr>
            <w:r w:rsidRPr="0029329A">
              <w:rPr>
                <w:rFonts w:asciiTheme="minorHAnsi" w:hAnsiTheme="minorHAnsi" w:cstheme="minorHAnsi"/>
                <w:b/>
                <w:color w:val="000000" w:themeColor="text1"/>
                <w:sz w:val="22"/>
                <w:szCs w:val="22"/>
              </w:rPr>
              <w:t>0 €</w:t>
            </w:r>
          </w:p>
        </w:tc>
        <w:tc>
          <w:tcPr>
            <w:tcW w:w="1401" w:type="dxa"/>
            <w:tcBorders>
              <w:top w:val="single" w:sz="4" w:space="0" w:color="000000" w:themeColor="text1"/>
              <w:left w:val="nil"/>
              <w:bottom w:val="single" w:sz="4" w:space="0" w:color="000000" w:themeColor="text1"/>
              <w:right w:val="single" w:sz="8" w:space="0" w:color="000000" w:themeColor="text1"/>
            </w:tcBorders>
            <w:shd w:val="clear" w:color="auto" w:fill="DEEAF6"/>
            <w:noWrap/>
            <w:vAlign w:val="center"/>
            <w:hideMark/>
          </w:tcPr>
          <w:p w14:paraId="25021578" w14:textId="77777777" w:rsidR="00770FB3" w:rsidRPr="0029329A" w:rsidRDefault="00770FB3" w:rsidP="00512889">
            <w:pPr>
              <w:jc w:val="center"/>
              <w:rPr>
                <w:rFonts w:asciiTheme="minorHAnsi" w:hAnsiTheme="minorHAnsi" w:cstheme="minorHAnsi"/>
                <w:b/>
                <w:color w:val="000000" w:themeColor="text1"/>
                <w:sz w:val="22"/>
                <w:szCs w:val="22"/>
              </w:rPr>
            </w:pPr>
            <w:r w:rsidRPr="0029329A">
              <w:rPr>
                <w:rFonts w:asciiTheme="minorHAnsi" w:hAnsiTheme="minorHAnsi" w:cstheme="minorHAnsi"/>
                <w:b/>
                <w:color w:val="000000" w:themeColor="text1"/>
                <w:sz w:val="22"/>
                <w:szCs w:val="22"/>
              </w:rPr>
              <w:t>0%</w:t>
            </w:r>
          </w:p>
        </w:tc>
      </w:tr>
      <w:tr w:rsidR="00770FB3" w:rsidRPr="0029329A" w14:paraId="42ABAAE7" w14:textId="77777777" w:rsidTr="0B3C2BAA">
        <w:trPr>
          <w:trHeight w:val="453"/>
        </w:trPr>
        <w:tc>
          <w:tcPr>
            <w:tcW w:w="7645" w:type="dxa"/>
            <w:tcBorders>
              <w:top w:val="single" w:sz="4" w:space="0" w:color="000000" w:themeColor="text1"/>
              <w:left w:val="single" w:sz="8" w:space="0" w:color="auto"/>
              <w:bottom w:val="single" w:sz="4" w:space="0" w:color="000000" w:themeColor="text1"/>
              <w:right w:val="single" w:sz="4" w:space="0" w:color="000000" w:themeColor="text1"/>
            </w:tcBorders>
            <w:hideMark/>
          </w:tcPr>
          <w:p w14:paraId="479D2557" w14:textId="77777777" w:rsidR="00770FB3" w:rsidRPr="0029329A" w:rsidRDefault="00770FB3" w:rsidP="00770FB3">
            <w:pPr>
              <w:rPr>
                <w:rFonts w:asciiTheme="minorHAnsi" w:hAnsiTheme="minorHAnsi" w:cstheme="minorHAnsi"/>
                <w:b/>
                <w:color w:val="000000" w:themeColor="text1"/>
                <w:sz w:val="22"/>
                <w:szCs w:val="22"/>
              </w:rPr>
            </w:pPr>
            <w:r w:rsidRPr="0029329A">
              <w:rPr>
                <w:rFonts w:asciiTheme="minorHAnsi" w:hAnsiTheme="minorHAnsi" w:cstheme="minorHAnsi"/>
                <w:b/>
                <w:color w:val="000000" w:themeColor="text1"/>
                <w:sz w:val="22"/>
                <w:szCs w:val="22"/>
              </w:rPr>
              <w:t>·     Honoraires de conseil</w:t>
            </w:r>
          </w:p>
        </w:tc>
        <w:tc>
          <w:tcPr>
            <w:tcW w:w="1559" w:type="dxa"/>
            <w:tcBorders>
              <w:top w:val="single" w:sz="4" w:space="0" w:color="000000" w:themeColor="text1"/>
              <w:left w:val="nil"/>
              <w:bottom w:val="single" w:sz="4" w:space="0" w:color="000000" w:themeColor="text1"/>
              <w:right w:val="single" w:sz="4" w:space="0" w:color="000000" w:themeColor="text1"/>
            </w:tcBorders>
            <w:noWrap/>
            <w:vAlign w:val="center"/>
            <w:hideMark/>
          </w:tcPr>
          <w:p w14:paraId="72AE466E" w14:textId="77777777" w:rsidR="00770FB3" w:rsidRPr="003579D0" w:rsidRDefault="00770FB3" w:rsidP="00512889">
            <w:pPr>
              <w:jc w:val="center"/>
              <w:rPr>
                <w:rFonts w:asciiTheme="minorHAnsi" w:hAnsiTheme="minorHAnsi" w:cstheme="minorHAnsi"/>
                <w:b/>
                <w:color w:val="000000" w:themeColor="text1"/>
                <w:sz w:val="22"/>
                <w:szCs w:val="22"/>
                <w:highlight w:val="yellow"/>
              </w:rPr>
            </w:pPr>
            <w:r w:rsidRPr="003579D0">
              <w:rPr>
                <w:rFonts w:asciiTheme="minorHAnsi" w:hAnsiTheme="minorHAnsi" w:cstheme="minorHAnsi"/>
                <w:b/>
                <w:color w:val="000000" w:themeColor="text1"/>
                <w:sz w:val="22"/>
                <w:szCs w:val="22"/>
                <w:highlight w:val="yellow"/>
              </w:rPr>
              <w:t>0 €</w:t>
            </w:r>
          </w:p>
        </w:tc>
        <w:tc>
          <w:tcPr>
            <w:tcW w:w="1401" w:type="dxa"/>
            <w:tcBorders>
              <w:top w:val="single" w:sz="4" w:space="0" w:color="000000" w:themeColor="text1"/>
              <w:left w:val="nil"/>
              <w:bottom w:val="single" w:sz="4" w:space="0" w:color="000000" w:themeColor="text1"/>
              <w:right w:val="single" w:sz="8" w:space="0" w:color="000000" w:themeColor="text1"/>
            </w:tcBorders>
            <w:noWrap/>
            <w:vAlign w:val="center"/>
            <w:hideMark/>
          </w:tcPr>
          <w:p w14:paraId="22D0E346" w14:textId="77777777" w:rsidR="00770FB3" w:rsidRPr="003579D0" w:rsidRDefault="00770FB3" w:rsidP="00512889">
            <w:pPr>
              <w:jc w:val="center"/>
              <w:rPr>
                <w:rFonts w:asciiTheme="minorHAnsi" w:hAnsiTheme="minorHAnsi" w:cstheme="minorHAnsi"/>
                <w:b/>
                <w:color w:val="000000" w:themeColor="text1"/>
                <w:sz w:val="22"/>
                <w:szCs w:val="22"/>
                <w:highlight w:val="yellow"/>
              </w:rPr>
            </w:pPr>
            <w:r w:rsidRPr="003579D0">
              <w:rPr>
                <w:rFonts w:asciiTheme="minorHAnsi" w:hAnsiTheme="minorHAnsi" w:cstheme="minorHAnsi"/>
                <w:b/>
                <w:color w:val="000000" w:themeColor="text1"/>
                <w:sz w:val="22"/>
                <w:szCs w:val="22"/>
                <w:highlight w:val="yellow"/>
              </w:rPr>
              <w:t>0%</w:t>
            </w:r>
          </w:p>
        </w:tc>
      </w:tr>
      <w:tr w:rsidR="00770FB3" w:rsidRPr="0029329A" w14:paraId="592861DD" w14:textId="77777777" w:rsidTr="0B3C2BAA">
        <w:trPr>
          <w:trHeight w:val="453"/>
        </w:trPr>
        <w:tc>
          <w:tcPr>
            <w:tcW w:w="7645" w:type="dxa"/>
            <w:tcBorders>
              <w:top w:val="single" w:sz="4" w:space="0" w:color="000000" w:themeColor="text1"/>
              <w:left w:val="single" w:sz="8" w:space="0" w:color="auto"/>
              <w:bottom w:val="single" w:sz="4" w:space="0" w:color="000000" w:themeColor="text1"/>
              <w:right w:val="single" w:sz="4" w:space="0" w:color="000000" w:themeColor="text1"/>
            </w:tcBorders>
            <w:hideMark/>
          </w:tcPr>
          <w:p w14:paraId="4EC83BC8" w14:textId="77777777" w:rsidR="00770FB3" w:rsidRPr="0029329A" w:rsidRDefault="00770FB3" w:rsidP="00770FB3">
            <w:pPr>
              <w:rPr>
                <w:rFonts w:asciiTheme="minorHAnsi" w:hAnsiTheme="minorHAnsi" w:cstheme="minorHAnsi"/>
                <w:b/>
                <w:color w:val="000000" w:themeColor="text1"/>
                <w:sz w:val="22"/>
                <w:szCs w:val="22"/>
              </w:rPr>
            </w:pPr>
            <w:r w:rsidRPr="0029329A">
              <w:rPr>
                <w:rFonts w:asciiTheme="minorHAnsi" w:hAnsiTheme="minorHAnsi" w:cstheme="minorHAnsi"/>
                <w:b/>
                <w:color w:val="000000" w:themeColor="text1"/>
                <w:sz w:val="22"/>
                <w:szCs w:val="22"/>
              </w:rPr>
              <w:t>·     Coûts de la transaction</w:t>
            </w:r>
          </w:p>
        </w:tc>
        <w:tc>
          <w:tcPr>
            <w:tcW w:w="1559" w:type="dxa"/>
            <w:tcBorders>
              <w:top w:val="single" w:sz="4" w:space="0" w:color="000000" w:themeColor="text1"/>
              <w:left w:val="nil"/>
              <w:bottom w:val="single" w:sz="4" w:space="0" w:color="000000" w:themeColor="text1"/>
              <w:right w:val="single" w:sz="4" w:space="0" w:color="000000" w:themeColor="text1"/>
            </w:tcBorders>
            <w:noWrap/>
            <w:vAlign w:val="center"/>
            <w:hideMark/>
          </w:tcPr>
          <w:p w14:paraId="72AA35A7" w14:textId="77777777" w:rsidR="00770FB3" w:rsidRPr="003579D0" w:rsidRDefault="00770FB3" w:rsidP="00512889">
            <w:pPr>
              <w:jc w:val="center"/>
              <w:rPr>
                <w:rFonts w:asciiTheme="minorHAnsi" w:hAnsiTheme="minorHAnsi" w:cstheme="minorHAnsi"/>
                <w:b/>
                <w:color w:val="000000" w:themeColor="text1"/>
                <w:sz w:val="22"/>
                <w:szCs w:val="22"/>
                <w:highlight w:val="yellow"/>
              </w:rPr>
            </w:pPr>
            <w:r w:rsidRPr="003579D0">
              <w:rPr>
                <w:rFonts w:asciiTheme="minorHAnsi" w:hAnsiTheme="minorHAnsi" w:cstheme="minorHAnsi"/>
                <w:b/>
                <w:color w:val="000000" w:themeColor="text1"/>
                <w:sz w:val="22"/>
                <w:szCs w:val="22"/>
                <w:highlight w:val="yellow"/>
              </w:rPr>
              <w:t>0 €</w:t>
            </w:r>
          </w:p>
        </w:tc>
        <w:tc>
          <w:tcPr>
            <w:tcW w:w="1401" w:type="dxa"/>
            <w:tcBorders>
              <w:top w:val="single" w:sz="4" w:space="0" w:color="000000" w:themeColor="text1"/>
              <w:left w:val="nil"/>
              <w:bottom w:val="single" w:sz="4" w:space="0" w:color="000000" w:themeColor="text1"/>
              <w:right w:val="single" w:sz="8" w:space="0" w:color="000000" w:themeColor="text1"/>
            </w:tcBorders>
            <w:noWrap/>
            <w:vAlign w:val="center"/>
            <w:hideMark/>
          </w:tcPr>
          <w:p w14:paraId="06D94B3F" w14:textId="77777777" w:rsidR="00770FB3" w:rsidRPr="003579D0" w:rsidRDefault="00770FB3" w:rsidP="00512889">
            <w:pPr>
              <w:jc w:val="center"/>
              <w:rPr>
                <w:rFonts w:asciiTheme="minorHAnsi" w:hAnsiTheme="minorHAnsi" w:cstheme="minorHAnsi"/>
                <w:b/>
                <w:color w:val="000000" w:themeColor="text1"/>
                <w:sz w:val="22"/>
                <w:szCs w:val="22"/>
                <w:highlight w:val="yellow"/>
              </w:rPr>
            </w:pPr>
            <w:r w:rsidRPr="003579D0">
              <w:rPr>
                <w:rFonts w:asciiTheme="minorHAnsi" w:hAnsiTheme="minorHAnsi" w:cstheme="minorHAnsi"/>
                <w:b/>
                <w:color w:val="000000" w:themeColor="text1"/>
                <w:sz w:val="22"/>
                <w:szCs w:val="22"/>
                <w:highlight w:val="yellow"/>
              </w:rPr>
              <w:t>0%</w:t>
            </w:r>
          </w:p>
        </w:tc>
      </w:tr>
      <w:tr w:rsidR="00770FB3" w:rsidRPr="0029329A" w14:paraId="77D9E530" w14:textId="77777777" w:rsidTr="0B3C2BAA">
        <w:trPr>
          <w:trHeight w:val="216"/>
        </w:trPr>
        <w:tc>
          <w:tcPr>
            <w:tcW w:w="7645" w:type="dxa"/>
            <w:tcBorders>
              <w:top w:val="single" w:sz="8" w:space="0" w:color="auto"/>
              <w:left w:val="single" w:sz="8" w:space="0" w:color="auto"/>
              <w:bottom w:val="single" w:sz="4" w:space="0" w:color="000000" w:themeColor="text1"/>
              <w:right w:val="single" w:sz="4" w:space="0" w:color="000000" w:themeColor="text1"/>
            </w:tcBorders>
            <w:shd w:val="clear" w:color="auto" w:fill="BCD5ED"/>
            <w:hideMark/>
          </w:tcPr>
          <w:p w14:paraId="7D3F3B0A" w14:textId="77777777" w:rsidR="00770FB3" w:rsidRPr="0029329A" w:rsidRDefault="00770FB3" w:rsidP="00770FB3">
            <w:pP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Paiements reçus de tiers par le CIF</w:t>
            </w:r>
          </w:p>
        </w:tc>
        <w:tc>
          <w:tcPr>
            <w:tcW w:w="1559" w:type="dxa"/>
            <w:tcBorders>
              <w:top w:val="single" w:sz="8" w:space="0" w:color="auto"/>
              <w:left w:val="nil"/>
              <w:bottom w:val="single" w:sz="4" w:space="0" w:color="000000" w:themeColor="text1"/>
              <w:right w:val="single" w:sz="4" w:space="0" w:color="000000" w:themeColor="text1"/>
            </w:tcBorders>
            <w:shd w:val="clear" w:color="auto" w:fill="BCD5ED"/>
            <w:vAlign w:val="center"/>
            <w:hideMark/>
          </w:tcPr>
          <w:p w14:paraId="7DC8F414" w14:textId="77777777" w:rsidR="00770FB3" w:rsidRPr="0029329A" w:rsidRDefault="00770FB3" w:rsidP="00512889">
            <w:pPr>
              <w:jc w:val="cente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En €</w:t>
            </w:r>
          </w:p>
        </w:tc>
        <w:tc>
          <w:tcPr>
            <w:tcW w:w="1401" w:type="dxa"/>
            <w:tcBorders>
              <w:top w:val="single" w:sz="8" w:space="0" w:color="auto"/>
              <w:left w:val="nil"/>
              <w:bottom w:val="single" w:sz="4" w:space="0" w:color="000000" w:themeColor="text1"/>
              <w:right w:val="single" w:sz="8" w:space="0" w:color="000000" w:themeColor="text1"/>
            </w:tcBorders>
            <w:shd w:val="clear" w:color="auto" w:fill="BCD5ED"/>
            <w:vAlign w:val="center"/>
            <w:hideMark/>
          </w:tcPr>
          <w:p w14:paraId="21489070" w14:textId="77777777" w:rsidR="00770FB3" w:rsidRPr="0029329A" w:rsidRDefault="00770FB3" w:rsidP="00512889">
            <w:pPr>
              <w:jc w:val="cente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En %</w:t>
            </w:r>
          </w:p>
        </w:tc>
      </w:tr>
      <w:tr w:rsidR="00770FB3" w:rsidRPr="0029329A" w14:paraId="4A64C01A" w14:textId="77777777" w:rsidTr="0B3C2BAA">
        <w:trPr>
          <w:trHeight w:val="453"/>
        </w:trPr>
        <w:tc>
          <w:tcPr>
            <w:tcW w:w="7645" w:type="dxa"/>
            <w:tcBorders>
              <w:top w:val="single" w:sz="4" w:space="0" w:color="000000" w:themeColor="text1"/>
              <w:left w:val="single" w:sz="8" w:space="0" w:color="auto"/>
              <w:bottom w:val="single" w:sz="4" w:space="0" w:color="000000" w:themeColor="text1"/>
              <w:right w:val="single" w:sz="4" w:space="0" w:color="000000" w:themeColor="text1"/>
            </w:tcBorders>
            <w:hideMark/>
          </w:tcPr>
          <w:p w14:paraId="7D3A4DBB" w14:textId="6BBB46F9" w:rsidR="00770FB3" w:rsidRPr="0029329A" w:rsidRDefault="00770FB3" w:rsidP="00770FB3">
            <w:pPr>
              <w:rPr>
                <w:rFonts w:asciiTheme="minorHAnsi" w:hAnsiTheme="minorHAnsi" w:cstheme="minorHAnsi"/>
                <w:b/>
                <w:color w:val="000000" w:themeColor="text1"/>
                <w:sz w:val="22"/>
                <w:szCs w:val="22"/>
              </w:rPr>
            </w:pPr>
            <w:r w:rsidRPr="0029329A">
              <w:rPr>
                <w:rFonts w:asciiTheme="minorHAnsi" w:hAnsiTheme="minorHAnsi" w:cstheme="minorHAnsi"/>
                <w:b/>
                <w:color w:val="000000" w:themeColor="text1"/>
                <w:sz w:val="22"/>
                <w:szCs w:val="22"/>
              </w:rPr>
              <w:t>Frais d’entrée perçus par le CIF :</w:t>
            </w:r>
            <w:r w:rsidRPr="0029329A">
              <w:rPr>
                <w:rFonts w:asciiTheme="minorHAnsi" w:hAnsiTheme="minorHAnsi" w:cstheme="minorHAnsi"/>
                <w:b/>
                <w:color w:val="000000" w:themeColor="text1"/>
                <w:sz w:val="22"/>
                <w:szCs w:val="22"/>
              </w:rPr>
              <w:br/>
            </w:r>
            <w:r w:rsidRPr="0029329A">
              <w:rPr>
                <w:rFonts w:asciiTheme="minorHAnsi" w:hAnsiTheme="minorHAnsi" w:cstheme="minorHAnsi"/>
                <w:b/>
                <w:bCs/>
                <w:color w:val="000000" w:themeColor="text1"/>
                <w:sz w:val="22"/>
                <w:szCs w:val="22"/>
              </w:rPr>
              <w:t>07020_Gross_One</w:t>
            </w:r>
            <w:r w:rsidR="00CF4D17">
              <w:rPr>
                <w:rFonts w:asciiTheme="minorHAnsi" w:hAnsiTheme="minorHAnsi" w:cstheme="minorHAnsi"/>
                <w:b/>
                <w:bCs/>
                <w:color w:val="000000" w:themeColor="text1"/>
                <w:sz w:val="22"/>
                <w:szCs w:val="22"/>
              </w:rPr>
              <w:t>-</w:t>
            </w:r>
            <w:r w:rsidRPr="0029329A">
              <w:rPr>
                <w:rFonts w:asciiTheme="minorHAnsi" w:hAnsiTheme="minorHAnsi" w:cstheme="minorHAnsi"/>
                <w:b/>
                <w:bCs/>
                <w:color w:val="000000" w:themeColor="text1"/>
                <w:sz w:val="22"/>
                <w:szCs w:val="22"/>
              </w:rPr>
              <w:t>off_Cost_Financial_Instrument_Maximum_Entry_Cost_Non_Acquired</w:t>
            </w:r>
          </w:p>
        </w:tc>
        <w:tc>
          <w:tcPr>
            <w:tcW w:w="1559" w:type="dxa"/>
            <w:tcBorders>
              <w:top w:val="single" w:sz="4" w:space="0" w:color="000000" w:themeColor="text1"/>
              <w:left w:val="nil"/>
              <w:bottom w:val="single" w:sz="4" w:space="0" w:color="000000" w:themeColor="text1"/>
              <w:right w:val="single" w:sz="4" w:space="0" w:color="000000" w:themeColor="text1"/>
            </w:tcBorders>
            <w:vAlign w:val="center"/>
            <w:hideMark/>
          </w:tcPr>
          <w:p w14:paraId="40C50355" w14:textId="750D97DF" w:rsidR="00770FB3" w:rsidRPr="005D22FC" w:rsidRDefault="00770FB3" w:rsidP="00512889">
            <w:pPr>
              <w:jc w:val="center"/>
              <w:rPr>
                <w:rFonts w:asciiTheme="minorHAnsi" w:hAnsiTheme="minorHAnsi" w:cstheme="minorHAnsi"/>
                <w:bCs/>
                <w:color w:val="000000" w:themeColor="text1"/>
                <w:sz w:val="22"/>
                <w:szCs w:val="22"/>
                <w:highlight w:val="yellow"/>
              </w:rPr>
            </w:pPr>
            <w:r w:rsidRPr="005D22FC">
              <w:rPr>
                <w:rFonts w:asciiTheme="minorHAnsi" w:hAnsiTheme="minorHAnsi" w:cstheme="minorHAnsi"/>
                <w:bCs/>
                <w:color w:val="000000" w:themeColor="text1"/>
                <w:sz w:val="22"/>
                <w:szCs w:val="22"/>
                <w:highlight w:val="yellow"/>
              </w:rPr>
              <w:t>Jusqu'à 5</w:t>
            </w:r>
            <w:r w:rsidR="00D23907" w:rsidRPr="005D22FC">
              <w:rPr>
                <w:rFonts w:asciiTheme="minorHAnsi" w:hAnsiTheme="minorHAnsi" w:cstheme="minorHAnsi"/>
                <w:bCs/>
                <w:color w:val="000000" w:themeColor="text1"/>
                <w:sz w:val="22"/>
                <w:szCs w:val="22"/>
                <w:highlight w:val="yellow"/>
              </w:rPr>
              <w:t xml:space="preserve"> </w:t>
            </w:r>
            <w:r w:rsidRPr="005D22FC">
              <w:rPr>
                <w:rFonts w:asciiTheme="minorHAnsi" w:hAnsiTheme="minorHAnsi" w:cstheme="minorHAnsi"/>
                <w:bCs/>
                <w:color w:val="000000" w:themeColor="text1"/>
                <w:sz w:val="22"/>
                <w:szCs w:val="22"/>
                <w:highlight w:val="yellow"/>
              </w:rPr>
              <w:t>000 €</w:t>
            </w:r>
          </w:p>
        </w:tc>
        <w:tc>
          <w:tcPr>
            <w:tcW w:w="1401" w:type="dxa"/>
            <w:tcBorders>
              <w:top w:val="single" w:sz="4" w:space="0" w:color="000000" w:themeColor="text1"/>
              <w:left w:val="nil"/>
              <w:bottom w:val="single" w:sz="4" w:space="0" w:color="000000" w:themeColor="text1"/>
              <w:right w:val="single" w:sz="8" w:space="0" w:color="000000" w:themeColor="text1"/>
            </w:tcBorders>
            <w:vAlign w:val="center"/>
            <w:hideMark/>
          </w:tcPr>
          <w:p w14:paraId="611DAC38" w14:textId="1715841D" w:rsidR="00C86E06" w:rsidRPr="005D22FC" w:rsidRDefault="00770FB3" w:rsidP="00011BFA">
            <w:pPr>
              <w:jc w:val="center"/>
              <w:rPr>
                <w:rFonts w:asciiTheme="minorHAnsi" w:hAnsiTheme="minorHAnsi" w:cstheme="minorHAnsi"/>
                <w:bCs/>
                <w:color w:val="000000" w:themeColor="text1"/>
                <w:sz w:val="22"/>
                <w:szCs w:val="22"/>
                <w:highlight w:val="yellow"/>
              </w:rPr>
            </w:pPr>
            <w:r w:rsidRPr="005D22FC">
              <w:rPr>
                <w:rFonts w:asciiTheme="minorHAnsi" w:hAnsiTheme="minorHAnsi" w:cstheme="minorHAnsi"/>
                <w:bCs/>
                <w:color w:val="000000" w:themeColor="text1"/>
                <w:sz w:val="22"/>
                <w:szCs w:val="22"/>
                <w:highlight w:val="yellow"/>
              </w:rPr>
              <w:t>Jusqu'à 5%</w:t>
            </w:r>
          </w:p>
        </w:tc>
      </w:tr>
      <w:tr w:rsidR="00770FB3" w:rsidRPr="0029329A" w14:paraId="347BAE4C" w14:textId="77777777" w:rsidTr="0B3C2BAA">
        <w:trPr>
          <w:trHeight w:val="453"/>
        </w:trPr>
        <w:tc>
          <w:tcPr>
            <w:tcW w:w="7645" w:type="dxa"/>
            <w:tcBorders>
              <w:top w:val="single" w:sz="4" w:space="0" w:color="000000" w:themeColor="text1"/>
              <w:left w:val="single" w:sz="8" w:space="0" w:color="auto"/>
              <w:bottom w:val="single" w:sz="4" w:space="0" w:color="000000" w:themeColor="text1"/>
              <w:right w:val="single" w:sz="4" w:space="0" w:color="000000" w:themeColor="text1"/>
            </w:tcBorders>
            <w:hideMark/>
          </w:tcPr>
          <w:p w14:paraId="56F0EA55" w14:textId="7CCF4E9D" w:rsidR="006B7B89" w:rsidRDefault="00770FB3" w:rsidP="00770FB3">
            <w:pPr>
              <w:rPr>
                <w:rFonts w:asciiTheme="minorHAnsi" w:hAnsiTheme="minorHAnsi" w:cstheme="minorHAnsi"/>
                <w:b/>
                <w:color w:val="000000" w:themeColor="text1"/>
                <w:sz w:val="22"/>
                <w:szCs w:val="22"/>
              </w:rPr>
            </w:pPr>
            <w:r w:rsidRPr="0029329A">
              <w:rPr>
                <w:rFonts w:asciiTheme="minorHAnsi" w:hAnsiTheme="minorHAnsi" w:cstheme="minorHAnsi"/>
                <w:b/>
                <w:color w:val="000000" w:themeColor="text1"/>
                <w:sz w:val="22"/>
                <w:szCs w:val="22"/>
              </w:rPr>
              <w:t>Frais courants perçus par le CIF (Cf</w:t>
            </w:r>
            <w:r w:rsidR="006B7B89">
              <w:rPr>
                <w:rFonts w:asciiTheme="minorHAnsi" w:hAnsiTheme="minorHAnsi" w:cstheme="minorHAnsi"/>
                <w:b/>
                <w:color w:val="000000" w:themeColor="text1"/>
                <w:sz w:val="22"/>
                <w:szCs w:val="22"/>
              </w:rPr>
              <w:t>.</w:t>
            </w:r>
            <w:r w:rsidRPr="0029329A">
              <w:rPr>
                <w:rFonts w:asciiTheme="minorHAnsi" w:hAnsiTheme="minorHAnsi" w:cstheme="minorHAnsi"/>
                <w:b/>
                <w:color w:val="000000" w:themeColor="text1"/>
                <w:sz w:val="22"/>
                <w:szCs w:val="22"/>
              </w:rPr>
              <w:t xml:space="preserve"> </w:t>
            </w:r>
            <w:r w:rsidR="006B7B89" w:rsidRPr="0029329A">
              <w:rPr>
                <w:rFonts w:asciiTheme="minorHAnsi" w:hAnsiTheme="minorHAnsi" w:cstheme="minorHAnsi"/>
                <w:b/>
                <w:color w:val="000000" w:themeColor="text1"/>
                <w:sz w:val="22"/>
                <w:szCs w:val="22"/>
              </w:rPr>
              <w:t xml:space="preserve"> </w:t>
            </w:r>
            <w:r w:rsidR="006B7B89" w:rsidRPr="0029329A">
              <w:rPr>
                <w:rFonts w:asciiTheme="minorHAnsi" w:hAnsiTheme="minorHAnsi" w:cstheme="minorHAnsi"/>
                <w:b/>
                <w:color w:val="000000" w:themeColor="text1"/>
                <w:sz w:val="22"/>
                <w:szCs w:val="22"/>
              </w:rPr>
              <w:t xml:space="preserve">Taux de rémunération </w:t>
            </w:r>
            <w:r w:rsidR="006B7B89">
              <w:rPr>
                <w:rFonts w:asciiTheme="minorHAnsi" w:hAnsiTheme="minorHAnsi" w:cstheme="minorHAnsi"/>
                <w:b/>
                <w:color w:val="000000" w:themeColor="text1"/>
                <w:sz w:val="22"/>
                <w:szCs w:val="22"/>
              </w:rPr>
              <w:t xml:space="preserve">dans la </w:t>
            </w:r>
            <w:r w:rsidRPr="0029329A">
              <w:rPr>
                <w:rFonts w:asciiTheme="minorHAnsi" w:hAnsiTheme="minorHAnsi" w:cstheme="minorHAnsi"/>
                <w:b/>
                <w:color w:val="000000" w:themeColor="text1"/>
                <w:sz w:val="22"/>
                <w:szCs w:val="22"/>
              </w:rPr>
              <w:t>convention de commercialisation</w:t>
            </w:r>
            <w:r w:rsidR="006B7B89">
              <w:rPr>
                <w:rFonts w:asciiTheme="minorHAnsi" w:hAnsiTheme="minorHAnsi" w:cstheme="minorHAnsi"/>
                <w:b/>
                <w:color w:val="000000" w:themeColor="text1"/>
                <w:sz w:val="22"/>
                <w:szCs w:val="22"/>
              </w:rPr>
              <w:t>)</w:t>
            </w:r>
          </w:p>
          <w:p w14:paraId="162A8488" w14:textId="634B3303" w:rsidR="00770FB3" w:rsidRPr="0029329A" w:rsidRDefault="00770FB3" w:rsidP="00770FB3">
            <w:pPr>
              <w:rPr>
                <w:rFonts w:asciiTheme="minorHAnsi" w:hAnsiTheme="minorHAnsi" w:cstheme="minorHAnsi"/>
                <w:b/>
                <w:color w:val="000000" w:themeColor="text1"/>
                <w:sz w:val="22"/>
                <w:szCs w:val="22"/>
              </w:rPr>
            </w:pPr>
            <w:r w:rsidRPr="0029329A">
              <w:rPr>
                <w:rFonts w:asciiTheme="minorHAnsi" w:hAnsiTheme="minorHAnsi" w:cstheme="minorHAnsi"/>
                <w:b/>
                <w:bCs/>
                <w:color w:val="000000" w:themeColor="text1"/>
                <w:sz w:val="22"/>
                <w:szCs w:val="22"/>
              </w:rPr>
              <w:t>07120_Financial_Instrument_Distribution_Fee</w:t>
            </w:r>
          </w:p>
        </w:tc>
        <w:tc>
          <w:tcPr>
            <w:tcW w:w="1559" w:type="dxa"/>
            <w:tcBorders>
              <w:top w:val="single" w:sz="4" w:space="0" w:color="000000" w:themeColor="text1"/>
              <w:left w:val="nil"/>
              <w:bottom w:val="single" w:sz="4" w:space="0" w:color="000000" w:themeColor="text1"/>
              <w:right w:val="single" w:sz="4" w:space="0" w:color="000000" w:themeColor="text1"/>
            </w:tcBorders>
            <w:vAlign w:val="center"/>
            <w:hideMark/>
          </w:tcPr>
          <w:p w14:paraId="782B1C23" w14:textId="773187C3" w:rsidR="00770FB3" w:rsidRPr="005D22FC" w:rsidRDefault="00770FB3" w:rsidP="00512889">
            <w:pPr>
              <w:jc w:val="center"/>
              <w:rPr>
                <w:rFonts w:asciiTheme="minorHAnsi" w:hAnsiTheme="minorHAnsi" w:cstheme="minorHAnsi"/>
                <w:bCs/>
                <w:color w:val="000000" w:themeColor="text1"/>
                <w:sz w:val="22"/>
                <w:szCs w:val="22"/>
                <w:highlight w:val="yellow"/>
              </w:rPr>
            </w:pPr>
            <w:r w:rsidRPr="005D22FC">
              <w:rPr>
                <w:rFonts w:asciiTheme="minorHAnsi" w:hAnsiTheme="minorHAnsi" w:cstheme="minorHAnsi"/>
                <w:bCs/>
                <w:color w:val="000000" w:themeColor="text1"/>
                <w:sz w:val="22"/>
                <w:szCs w:val="22"/>
                <w:highlight w:val="yellow"/>
              </w:rPr>
              <w:t xml:space="preserve">Jusqu'à </w:t>
            </w:r>
            <w:r w:rsidR="00BE6A26">
              <w:rPr>
                <w:rFonts w:asciiTheme="minorHAnsi" w:hAnsiTheme="minorHAnsi" w:cstheme="minorHAnsi"/>
                <w:bCs/>
                <w:color w:val="000000" w:themeColor="text1"/>
                <w:sz w:val="22"/>
                <w:szCs w:val="22"/>
                <w:highlight w:val="yellow"/>
              </w:rPr>
              <w:t>7</w:t>
            </w:r>
            <w:r w:rsidR="00053929" w:rsidRPr="005D22FC">
              <w:rPr>
                <w:rFonts w:asciiTheme="minorHAnsi" w:hAnsiTheme="minorHAnsi" w:cstheme="minorHAnsi"/>
                <w:bCs/>
                <w:color w:val="000000" w:themeColor="text1"/>
                <w:sz w:val="22"/>
                <w:szCs w:val="22"/>
                <w:highlight w:val="yellow"/>
              </w:rPr>
              <w:t>5</w:t>
            </w:r>
            <w:r w:rsidRPr="005D22FC">
              <w:rPr>
                <w:rFonts w:asciiTheme="minorHAnsi" w:hAnsiTheme="minorHAnsi" w:cstheme="minorHAnsi"/>
                <w:bCs/>
                <w:color w:val="000000" w:themeColor="text1"/>
                <w:sz w:val="22"/>
                <w:szCs w:val="22"/>
                <w:highlight w:val="yellow"/>
              </w:rPr>
              <w:t>0 €</w:t>
            </w:r>
          </w:p>
        </w:tc>
        <w:tc>
          <w:tcPr>
            <w:tcW w:w="1401" w:type="dxa"/>
            <w:tcBorders>
              <w:top w:val="single" w:sz="4" w:space="0" w:color="000000" w:themeColor="text1"/>
              <w:left w:val="nil"/>
              <w:bottom w:val="single" w:sz="4" w:space="0" w:color="000000" w:themeColor="text1"/>
              <w:right w:val="single" w:sz="8" w:space="0" w:color="000000" w:themeColor="text1"/>
            </w:tcBorders>
            <w:vAlign w:val="center"/>
            <w:hideMark/>
          </w:tcPr>
          <w:p w14:paraId="28E3568A" w14:textId="72F485E3" w:rsidR="00770FB3" w:rsidRPr="005D22FC" w:rsidRDefault="00770FB3" w:rsidP="00512889">
            <w:pPr>
              <w:jc w:val="center"/>
              <w:rPr>
                <w:rFonts w:asciiTheme="minorHAnsi" w:hAnsiTheme="minorHAnsi" w:cstheme="minorBidi"/>
                <w:bCs/>
                <w:color w:val="000000" w:themeColor="text1"/>
                <w:sz w:val="22"/>
                <w:szCs w:val="22"/>
                <w:highlight w:val="yellow"/>
              </w:rPr>
            </w:pPr>
            <w:r w:rsidRPr="005D22FC">
              <w:rPr>
                <w:rFonts w:asciiTheme="minorHAnsi" w:hAnsiTheme="minorHAnsi" w:cstheme="minorBidi"/>
                <w:bCs/>
                <w:color w:val="000000" w:themeColor="text1"/>
                <w:sz w:val="22"/>
                <w:szCs w:val="22"/>
                <w:highlight w:val="yellow"/>
              </w:rPr>
              <w:t>Jusqu'à 0,</w:t>
            </w:r>
            <w:r w:rsidR="00BE6A26">
              <w:rPr>
                <w:rFonts w:asciiTheme="minorHAnsi" w:hAnsiTheme="minorHAnsi" w:cstheme="minorBidi"/>
                <w:bCs/>
                <w:color w:val="000000" w:themeColor="text1"/>
                <w:sz w:val="22"/>
                <w:szCs w:val="22"/>
                <w:highlight w:val="yellow"/>
              </w:rPr>
              <w:t>7</w:t>
            </w:r>
            <w:r w:rsidR="00053929" w:rsidRPr="005D22FC">
              <w:rPr>
                <w:rFonts w:asciiTheme="minorHAnsi" w:hAnsiTheme="minorHAnsi" w:cstheme="minorBidi"/>
                <w:bCs/>
                <w:color w:val="000000" w:themeColor="text1"/>
                <w:sz w:val="22"/>
                <w:szCs w:val="22"/>
                <w:highlight w:val="yellow"/>
              </w:rPr>
              <w:t>5</w:t>
            </w:r>
            <w:r w:rsidRPr="005D22FC">
              <w:rPr>
                <w:rFonts w:asciiTheme="minorHAnsi" w:hAnsiTheme="minorHAnsi" w:cstheme="minorBidi"/>
                <w:bCs/>
                <w:color w:val="000000" w:themeColor="text1"/>
                <w:sz w:val="22"/>
                <w:szCs w:val="22"/>
                <w:highlight w:val="yellow"/>
              </w:rPr>
              <w:t>%</w:t>
            </w:r>
          </w:p>
        </w:tc>
      </w:tr>
      <w:tr w:rsidR="00770FB3" w:rsidRPr="0029329A" w14:paraId="2B1E4562" w14:textId="77777777" w:rsidTr="0B3C2BAA">
        <w:trPr>
          <w:trHeight w:val="221"/>
        </w:trPr>
        <w:tc>
          <w:tcPr>
            <w:tcW w:w="7645" w:type="dxa"/>
            <w:tcBorders>
              <w:top w:val="single" w:sz="4" w:space="0" w:color="000000" w:themeColor="text1"/>
              <w:left w:val="single" w:sz="8" w:space="0" w:color="auto"/>
              <w:bottom w:val="single" w:sz="8" w:space="0" w:color="auto"/>
              <w:right w:val="single" w:sz="4" w:space="0" w:color="000000" w:themeColor="text1"/>
            </w:tcBorders>
            <w:shd w:val="clear" w:color="auto" w:fill="D9D9D9" w:themeFill="background1" w:themeFillShade="D9"/>
            <w:hideMark/>
          </w:tcPr>
          <w:p w14:paraId="07DA5C00" w14:textId="77777777" w:rsidR="00770FB3" w:rsidRPr="0029329A" w:rsidRDefault="00770FB3" w:rsidP="00770FB3">
            <w:pP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SOUS-TOTAL</w:t>
            </w:r>
          </w:p>
        </w:tc>
        <w:tc>
          <w:tcPr>
            <w:tcW w:w="1559" w:type="dxa"/>
            <w:tcBorders>
              <w:top w:val="single" w:sz="4" w:space="0" w:color="000000" w:themeColor="text1"/>
              <w:left w:val="nil"/>
              <w:bottom w:val="single" w:sz="8" w:space="0" w:color="auto"/>
              <w:right w:val="single" w:sz="4" w:space="0" w:color="000000" w:themeColor="text1"/>
            </w:tcBorders>
            <w:shd w:val="clear" w:color="auto" w:fill="D9D9D9" w:themeFill="background1" w:themeFillShade="D9"/>
            <w:vAlign w:val="center"/>
            <w:hideMark/>
          </w:tcPr>
          <w:p w14:paraId="5F081CED" w14:textId="00FC4129" w:rsidR="00770FB3" w:rsidRPr="0029329A" w:rsidRDefault="00AB117D" w:rsidP="00512889">
            <w:pPr>
              <w:jc w:val="center"/>
              <w:rPr>
                <w:rFonts w:asciiTheme="minorHAnsi" w:hAnsiTheme="minorHAnsi" w:cstheme="minorHAnsi"/>
                <w:b/>
                <w:bCs/>
                <w:color w:val="000000" w:themeColor="text1"/>
                <w:sz w:val="22"/>
                <w:szCs w:val="22"/>
              </w:rPr>
            </w:pPr>
            <w:r w:rsidRPr="00AB117D">
              <w:rPr>
                <w:rFonts w:asciiTheme="minorHAnsi" w:hAnsiTheme="minorHAnsi" w:cstheme="minorHAnsi"/>
                <w:color w:val="000000" w:themeColor="text1"/>
                <w:sz w:val="22"/>
                <w:szCs w:val="22"/>
              </w:rPr>
              <w:t>Jusqu’à</w:t>
            </w:r>
            <w:r>
              <w:rPr>
                <w:rFonts w:asciiTheme="minorHAnsi" w:hAnsiTheme="minorHAnsi" w:cstheme="minorHAnsi"/>
                <w:b/>
                <w:bCs/>
                <w:color w:val="000000" w:themeColor="text1"/>
                <w:sz w:val="22"/>
                <w:szCs w:val="22"/>
              </w:rPr>
              <w:t xml:space="preserve"> </w:t>
            </w:r>
            <w:r w:rsidR="00770FB3" w:rsidRPr="0029329A">
              <w:rPr>
                <w:rFonts w:asciiTheme="minorHAnsi" w:hAnsiTheme="minorHAnsi" w:cstheme="minorHAnsi"/>
                <w:b/>
                <w:bCs/>
                <w:color w:val="000000" w:themeColor="text1"/>
                <w:sz w:val="22"/>
                <w:szCs w:val="22"/>
              </w:rPr>
              <w:t xml:space="preserve">5 </w:t>
            </w:r>
            <w:r w:rsidR="00257E24">
              <w:rPr>
                <w:rFonts w:asciiTheme="minorHAnsi" w:hAnsiTheme="minorHAnsi" w:cstheme="minorHAnsi"/>
                <w:b/>
                <w:bCs/>
                <w:color w:val="000000" w:themeColor="text1"/>
                <w:sz w:val="22"/>
                <w:szCs w:val="22"/>
              </w:rPr>
              <w:t>75</w:t>
            </w:r>
            <w:r w:rsidR="00770FB3" w:rsidRPr="0029329A">
              <w:rPr>
                <w:rFonts w:asciiTheme="minorHAnsi" w:hAnsiTheme="minorHAnsi" w:cstheme="minorHAnsi"/>
                <w:b/>
                <w:bCs/>
                <w:color w:val="000000" w:themeColor="text1"/>
                <w:sz w:val="22"/>
                <w:szCs w:val="22"/>
              </w:rPr>
              <w:t>0 €</w:t>
            </w:r>
          </w:p>
        </w:tc>
        <w:tc>
          <w:tcPr>
            <w:tcW w:w="1401" w:type="dxa"/>
            <w:tcBorders>
              <w:top w:val="single" w:sz="4" w:space="0" w:color="000000" w:themeColor="text1"/>
              <w:left w:val="nil"/>
              <w:bottom w:val="single" w:sz="8" w:space="0" w:color="auto"/>
              <w:right w:val="single" w:sz="8" w:space="0" w:color="000000" w:themeColor="text1"/>
            </w:tcBorders>
            <w:shd w:val="clear" w:color="auto" w:fill="D9D9D9" w:themeFill="background1" w:themeFillShade="D9"/>
            <w:vAlign w:val="center"/>
            <w:hideMark/>
          </w:tcPr>
          <w:p w14:paraId="554AA163" w14:textId="3E5A4BD3" w:rsidR="00770FB3" w:rsidRPr="0029329A" w:rsidRDefault="00AB117D" w:rsidP="00512889">
            <w:pPr>
              <w:jc w:val="center"/>
              <w:rPr>
                <w:rFonts w:asciiTheme="minorHAnsi" w:hAnsiTheme="minorHAnsi" w:cstheme="minorHAnsi"/>
                <w:b/>
                <w:bCs/>
                <w:color w:val="000000" w:themeColor="text1"/>
                <w:sz w:val="22"/>
                <w:szCs w:val="22"/>
              </w:rPr>
            </w:pPr>
            <w:r w:rsidRPr="00AB117D">
              <w:rPr>
                <w:rFonts w:asciiTheme="minorHAnsi" w:hAnsiTheme="minorHAnsi" w:cstheme="minorHAnsi"/>
                <w:color w:val="000000" w:themeColor="text1"/>
                <w:sz w:val="22"/>
                <w:szCs w:val="22"/>
              </w:rPr>
              <w:t xml:space="preserve">Jusqu’à </w:t>
            </w:r>
            <w:r w:rsidR="00770FB3" w:rsidRPr="0029329A">
              <w:rPr>
                <w:rFonts w:asciiTheme="minorHAnsi" w:hAnsiTheme="minorHAnsi" w:cstheme="minorHAnsi"/>
                <w:b/>
                <w:bCs/>
                <w:color w:val="000000" w:themeColor="text1"/>
                <w:sz w:val="22"/>
                <w:szCs w:val="22"/>
              </w:rPr>
              <w:t>5,</w:t>
            </w:r>
            <w:r w:rsidR="00257E24">
              <w:rPr>
                <w:rFonts w:asciiTheme="minorHAnsi" w:hAnsiTheme="minorHAnsi" w:cstheme="minorHAnsi"/>
                <w:b/>
                <w:bCs/>
                <w:color w:val="000000" w:themeColor="text1"/>
                <w:sz w:val="22"/>
                <w:szCs w:val="22"/>
              </w:rPr>
              <w:t>7</w:t>
            </w:r>
            <w:r w:rsidR="00625D93">
              <w:rPr>
                <w:rFonts w:asciiTheme="minorHAnsi" w:hAnsiTheme="minorHAnsi" w:cstheme="minorHAnsi"/>
                <w:b/>
                <w:bCs/>
                <w:color w:val="000000" w:themeColor="text1"/>
                <w:sz w:val="22"/>
                <w:szCs w:val="22"/>
              </w:rPr>
              <w:t>5</w:t>
            </w:r>
            <w:r w:rsidR="00770FB3" w:rsidRPr="0029329A">
              <w:rPr>
                <w:rFonts w:asciiTheme="minorHAnsi" w:hAnsiTheme="minorHAnsi" w:cstheme="minorHAnsi"/>
                <w:b/>
                <w:bCs/>
                <w:color w:val="000000" w:themeColor="text1"/>
                <w:sz w:val="22"/>
                <w:szCs w:val="22"/>
              </w:rPr>
              <w:t>%</w:t>
            </w:r>
          </w:p>
        </w:tc>
      </w:tr>
      <w:tr w:rsidR="00770FB3" w:rsidRPr="0029329A" w14:paraId="46D1B5E8" w14:textId="77777777" w:rsidTr="0B3C2BAA">
        <w:trPr>
          <w:trHeight w:val="216"/>
        </w:trPr>
        <w:tc>
          <w:tcPr>
            <w:tcW w:w="7645" w:type="dxa"/>
            <w:tcBorders>
              <w:top w:val="single" w:sz="8" w:space="0" w:color="auto"/>
              <w:left w:val="single" w:sz="8" w:space="0" w:color="auto"/>
              <w:bottom w:val="single" w:sz="4" w:space="0" w:color="000000" w:themeColor="text1"/>
              <w:right w:val="single" w:sz="4" w:space="0" w:color="000000" w:themeColor="text1"/>
            </w:tcBorders>
            <w:shd w:val="clear" w:color="auto" w:fill="BCD5ED"/>
            <w:hideMark/>
          </w:tcPr>
          <w:p w14:paraId="43588217" w14:textId="77777777" w:rsidR="00770FB3" w:rsidRPr="0029329A" w:rsidRDefault="00770FB3" w:rsidP="00770FB3">
            <w:pP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Coûts liés au produit</w:t>
            </w:r>
          </w:p>
        </w:tc>
        <w:tc>
          <w:tcPr>
            <w:tcW w:w="1559" w:type="dxa"/>
            <w:tcBorders>
              <w:top w:val="single" w:sz="8" w:space="0" w:color="auto"/>
              <w:left w:val="nil"/>
              <w:bottom w:val="single" w:sz="4" w:space="0" w:color="000000" w:themeColor="text1"/>
              <w:right w:val="single" w:sz="4" w:space="0" w:color="000000" w:themeColor="text1"/>
            </w:tcBorders>
            <w:shd w:val="clear" w:color="auto" w:fill="BCD5ED"/>
            <w:vAlign w:val="center"/>
            <w:hideMark/>
          </w:tcPr>
          <w:p w14:paraId="35837CC1" w14:textId="77777777" w:rsidR="00770FB3" w:rsidRPr="0029329A" w:rsidRDefault="00770FB3" w:rsidP="00512889">
            <w:pPr>
              <w:jc w:val="cente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En €</w:t>
            </w:r>
          </w:p>
        </w:tc>
        <w:tc>
          <w:tcPr>
            <w:tcW w:w="1401" w:type="dxa"/>
            <w:tcBorders>
              <w:top w:val="single" w:sz="8" w:space="0" w:color="auto"/>
              <w:left w:val="nil"/>
              <w:bottom w:val="single" w:sz="4" w:space="0" w:color="000000" w:themeColor="text1"/>
              <w:right w:val="single" w:sz="8" w:space="0" w:color="000000" w:themeColor="text1"/>
            </w:tcBorders>
            <w:shd w:val="clear" w:color="auto" w:fill="BCD5ED"/>
            <w:vAlign w:val="center"/>
            <w:hideMark/>
          </w:tcPr>
          <w:p w14:paraId="1055CE22" w14:textId="77777777" w:rsidR="00770FB3" w:rsidRPr="0029329A" w:rsidRDefault="00770FB3" w:rsidP="00512889">
            <w:pPr>
              <w:jc w:val="cente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En %</w:t>
            </w:r>
          </w:p>
        </w:tc>
      </w:tr>
      <w:tr w:rsidR="00770FB3" w:rsidRPr="0029329A" w14:paraId="3E7A0F8A" w14:textId="77777777" w:rsidTr="0B3C2BAA">
        <w:trPr>
          <w:trHeight w:val="453"/>
        </w:trPr>
        <w:tc>
          <w:tcPr>
            <w:tcW w:w="7645" w:type="dxa"/>
            <w:tcBorders>
              <w:top w:val="single" w:sz="4" w:space="0" w:color="000000" w:themeColor="text1"/>
              <w:left w:val="single" w:sz="8" w:space="0" w:color="auto"/>
              <w:bottom w:val="single" w:sz="4" w:space="0" w:color="000000" w:themeColor="text1"/>
              <w:right w:val="single" w:sz="4" w:space="0" w:color="000000" w:themeColor="text1"/>
            </w:tcBorders>
            <w:hideMark/>
          </w:tcPr>
          <w:p w14:paraId="763C7106" w14:textId="609C34EE" w:rsidR="00770FB3" w:rsidRPr="0029329A" w:rsidRDefault="00770FB3" w:rsidP="00770FB3">
            <w:pPr>
              <w:rPr>
                <w:rFonts w:asciiTheme="minorHAnsi" w:hAnsiTheme="minorHAnsi" w:cstheme="minorHAnsi"/>
                <w:b/>
                <w:color w:val="000000" w:themeColor="text1"/>
                <w:sz w:val="22"/>
                <w:szCs w:val="22"/>
              </w:rPr>
            </w:pPr>
            <w:r w:rsidRPr="007E0191">
              <w:rPr>
                <w:rFonts w:asciiTheme="minorHAnsi" w:hAnsiTheme="minorHAnsi" w:cstheme="minorHAnsi"/>
                <w:bCs/>
                <w:color w:val="000000" w:themeColor="text1"/>
                <w:sz w:val="22"/>
                <w:szCs w:val="22"/>
              </w:rPr>
              <w:t>Frais uniques (</w:t>
            </w:r>
            <w:r w:rsidR="00407B43" w:rsidRPr="007E0191">
              <w:rPr>
                <w:rFonts w:asciiTheme="minorHAnsi" w:hAnsiTheme="minorHAnsi" w:cstheme="minorHAnsi"/>
                <w:bCs/>
                <w:color w:val="000000" w:themeColor="text1"/>
                <w:sz w:val="22"/>
                <w:szCs w:val="22"/>
              </w:rPr>
              <w:t>commissions</w:t>
            </w:r>
            <w:r w:rsidRPr="007E0191">
              <w:rPr>
                <w:rFonts w:asciiTheme="minorHAnsi" w:hAnsiTheme="minorHAnsi" w:cstheme="minorHAnsi"/>
                <w:bCs/>
                <w:color w:val="000000" w:themeColor="text1"/>
                <w:sz w:val="22"/>
                <w:szCs w:val="22"/>
              </w:rPr>
              <w:t xml:space="preserve"> acquis</w:t>
            </w:r>
            <w:r w:rsidR="00407B43" w:rsidRPr="007E0191">
              <w:rPr>
                <w:rFonts w:asciiTheme="minorHAnsi" w:hAnsiTheme="minorHAnsi" w:cstheme="minorHAnsi"/>
                <w:bCs/>
                <w:color w:val="000000" w:themeColor="text1"/>
                <w:sz w:val="22"/>
                <w:szCs w:val="22"/>
              </w:rPr>
              <w:t>es</w:t>
            </w:r>
            <w:r w:rsidRPr="007E0191">
              <w:rPr>
                <w:rFonts w:asciiTheme="minorHAnsi" w:hAnsiTheme="minorHAnsi" w:cstheme="minorHAnsi"/>
                <w:bCs/>
                <w:color w:val="000000" w:themeColor="text1"/>
                <w:sz w:val="22"/>
                <w:szCs w:val="22"/>
              </w:rPr>
              <w:t xml:space="preserve"> au fonds) :</w:t>
            </w:r>
            <w:r w:rsidRPr="0029329A">
              <w:rPr>
                <w:rFonts w:asciiTheme="minorHAnsi" w:hAnsiTheme="minorHAnsi" w:cstheme="minorHAnsi"/>
                <w:b/>
                <w:color w:val="000000" w:themeColor="text1"/>
                <w:sz w:val="22"/>
                <w:szCs w:val="22"/>
              </w:rPr>
              <w:br/>
            </w:r>
            <w:r w:rsidRPr="0029329A">
              <w:rPr>
                <w:rFonts w:asciiTheme="minorHAnsi" w:hAnsiTheme="minorHAnsi" w:cstheme="minorHAnsi"/>
                <w:b/>
                <w:bCs/>
                <w:color w:val="000000" w:themeColor="text1"/>
                <w:sz w:val="22"/>
                <w:szCs w:val="22"/>
              </w:rPr>
              <w:t>07040_One-off_Cost_Financial_Instrument_Maximum_Entry_Cost_Acquired</w:t>
            </w:r>
          </w:p>
        </w:tc>
        <w:tc>
          <w:tcPr>
            <w:tcW w:w="1559" w:type="dxa"/>
            <w:tcBorders>
              <w:top w:val="single" w:sz="4" w:space="0" w:color="000000" w:themeColor="text1"/>
              <w:left w:val="nil"/>
              <w:bottom w:val="single" w:sz="4" w:space="0" w:color="000000" w:themeColor="text1"/>
              <w:right w:val="single" w:sz="4" w:space="0" w:color="000000" w:themeColor="text1"/>
            </w:tcBorders>
            <w:noWrap/>
            <w:vAlign w:val="center"/>
            <w:hideMark/>
          </w:tcPr>
          <w:p w14:paraId="07C8FB07" w14:textId="550E6CCA" w:rsidR="00770FB3" w:rsidRPr="005D22FC" w:rsidRDefault="00ED5C4A" w:rsidP="00512889">
            <w:pPr>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2</w:t>
            </w:r>
            <w:r w:rsidR="00D23907" w:rsidRPr="005D22FC">
              <w:rPr>
                <w:rFonts w:asciiTheme="minorHAnsi" w:hAnsiTheme="minorHAnsi" w:cstheme="minorHAnsi"/>
                <w:bCs/>
                <w:color w:val="000000" w:themeColor="text1"/>
                <w:sz w:val="22"/>
                <w:szCs w:val="22"/>
              </w:rPr>
              <w:t xml:space="preserve"> </w:t>
            </w:r>
            <w:r>
              <w:rPr>
                <w:rFonts w:asciiTheme="minorHAnsi" w:hAnsiTheme="minorHAnsi" w:cstheme="minorHAnsi"/>
                <w:bCs/>
                <w:color w:val="000000" w:themeColor="text1"/>
                <w:sz w:val="22"/>
                <w:szCs w:val="22"/>
              </w:rPr>
              <w:t>5</w:t>
            </w:r>
            <w:r w:rsidR="00770FB3" w:rsidRPr="005D22FC">
              <w:rPr>
                <w:rFonts w:asciiTheme="minorHAnsi" w:hAnsiTheme="minorHAnsi" w:cstheme="minorHAnsi"/>
                <w:bCs/>
                <w:color w:val="000000" w:themeColor="text1"/>
                <w:sz w:val="22"/>
                <w:szCs w:val="22"/>
              </w:rPr>
              <w:t>00 €</w:t>
            </w:r>
          </w:p>
        </w:tc>
        <w:tc>
          <w:tcPr>
            <w:tcW w:w="1401" w:type="dxa"/>
            <w:tcBorders>
              <w:top w:val="single" w:sz="4" w:space="0" w:color="000000" w:themeColor="text1"/>
              <w:left w:val="nil"/>
              <w:bottom w:val="single" w:sz="4" w:space="0" w:color="000000" w:themeColor="text1"/>
              <w:right w:val="single" w:sz="8" w:space="0" w:color="000000" w:themeColor="text1"/>
            </w:tcBorders>
            <w:noWrap/>
            <w:vAlign w:val="center"/>
            <w:hideMark/>
          </w:tcPr>
          <w:p w14:paraId="4452FB28" w14:textId="7001260B" w:rsidR="00770FB3" w:rsidRPr="005D22FC" w:rsidRDefault="00ED5C4A" w:rsidP="00512889">
            <w:pPr>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2</w:t>
            </w:r>
            <w:r w:rsidR="00770FB3" w:rsidRPr="005D22FC">
              <w:rPr>
                <w:rFonts w:asciiTheme="minorHAnsi" w:hAnsiTheme="minorHAnsi" w:cstheme="minorHAnsi"/>
                <w:bCs/>
                <w:color w:val="000000" w:themeColor="text1"/>
                <w:sz w:val="22"/>
                <w:szCs w:val="22"/>
              </w:rPr>
              <w:t>,</w:t>
            </w:r>
            <w:r>
              <w:rPr>
                <w:rFonts w:asciiTheme="minorHAnsi" w:hAnsiTheme="minorHAnsi" w:cstheme="minorHAnsi"/>
                <w:bCs/>
                <w:color w:val="000000" w:themeColor="text1"/>
                <w:sz w:val="22"/>
                <w:szCs w:val="22"/>
              </w:rPr>
              <w:t>5</w:t>
            </w:r>
            <w:r w:rsidR="00770FB3" w:rsidRPr="005D22FC">
              <w:rPr>
                <w:rFonts w:asciiTheme="minorHAnsi" w:hAnsiTheme="minorHAnsi" w:cstheme="minorHAnsi"/>
                <w:bCs/>
                <w:color w:val="000000" w:themeColor="text1"/>
                <w:sz w:val="22"/>
                <w:szCs w:val="22"/>
              </w:rPr>
              <w:t>0 %</w:t>
            </w:r>
            <w:r w:rsidR="007A46B1" w:rsidRPr="005D22FC">
              <w:rPr>
                <w:rFonts w:asciiTheme="minorHAnsi" w:hAnsiTheme="minorHAnsi" w:cstheme="minorHAnsi"/>
                <w:bCs/>
                <w:color w:val="000000" w:themeColor="text1"/>
                <w:sz w:val="22"/>
                <w:szCs w:val="22"/>
              </w:rPr>
              <w:t>*</w:t>
            </w:r>
          </w:p>
        </w:tc>
      </w:tr>
      <w:tr w:rsidR="00EE04FB" w:rsidRPr="0029329A" w14:paraId="255497EB" w14:textId="77777777" w:rsidTr="0B3C2BAA">
        <w:trPr>
          <w:trHeight w:val="453"/>
        </w:trPr>
        <w:tc>
          <w:tcPr>
            <w:tcW w:w="7645" w:type="dxa"/>
            <w:tcBorders>
              <w:top w:val="single" w:sz="4" w:space="0" w:color="000000" w:themeColor="text1"/>
              <w:left w:val="single" w:sz="8" w:space="0" w:color="auto"/>
              <w:bottom w:val="single" w:sz="4" w:space="0" w:color="000000" w:themeColor="text1"/>
              <w:right w:val="single" w:sz="4" w:space="0" w:color="000000" w:themeColor="text1"/>
            </w:tcBorders>
          </w:tcPr>
          <w:p w14:paraId="51F866F5" w14:textId="77777777" w:rsidR="00EE04FB" w:rsidRDefault="00EE04FB" w:rsidP="00EE04FB">
            <w:pPr>
              <w:rPr>
                <w:rFonts w:asciiTheme="minorHAnsi" w:hAnsiTheme="minorHAnsi" w:cstheme="minorHAnsi"/>
                <w:sz w:val="20"/>
                <w:szCs w:val="20"/>
              </w:rPr>
            </w:pPr>
            <w:r w:rsidRPr="003D2ABD">
              <w:rPr>
                <w:rFonts w:asciiTheme="minorHAnsi" w:hAnsiTheme="minorHAnsi" w:cstheme="minorHAnsi"/>
                <w:sz w:val="20"/>
                <w:szCs w:val="20"/>
              </w:rPr>
              <w:lastRenderedPageBreak/>
              <w:t xml:space="preserve">Frais courants (frais de gestion </w:t>
            </w:r>
            <w:r w:rsidRPr="00C04015">
              <w:rPr>
                <w:rFonts w:asciiTheme="minorHAnsi" w:hAnsiTheme="minorHAnsi" w:cstheme="minorHAnsi"/>
                <w:sz w:val="20"/>
                <w:szCs w:val="20"/>
                <w:u w:val="single"/>
              </w:rPr>
              <w:t>y compris les commissions de gestion</w:t>
            </w:r>
            <w:r w:rsidRPr="003D2ABD">
              <w:rPr>
                <w:rFonts w:asciiTheme="minorHAnsi" w:hAnsiTheme="minorHAnsi" w:cstheme="minorHAnsi"/>
                <w:sz w:val="20"/>
                <w:szCs w:val="20"/>
              </w:rPr>
              <w:t xml:space="preserve">, frais de constitution, frais d’exploitation immobilière) </w:t>
            </w:r>
          </w:p>
          <w:p w14:paraId="328DD98C" w14:textId="1A17DC71" w:rsidR="00EE04FB" w:rsidRPr="00BB4B1C" w:rsidRDefault="00EE04FB" w:rsidP="000F6A0B">
            <w:pPr>
              <w:rPr>
                <w:rFonts w:asciiTheme="minorHAnsi" w:hAnsiTheme="minorHAnsi" w:cstheme="minorHAnsi"/>
                <w:b/>
                <w:color w:val="000000" w:themeColor="text1"/>
                <w:sz w:val="22"/>
                <w:szCs w:val="22"/>
                <w:lang w:val="en-US"/>
              </w:rPr>
            </w:pPr>
            <w:r w:rsidRPr="0056444D">
              <w:rPr>
                <w:rFonts w:asciiTheme="minorHAnsi" w:hAnsiTheme="minorHAnsi" w:cstheme="minorHAnsi"/>
                <w:b/>
                <w:bCs/>
                <w:sz w:val="20"/>
                <w:szCs w:val="20"/>
                <w:lang w:val="en-US"/>
              </w:rPr>
              <w:t>07100_Financial_Instrument_Gross_Ongoing_Costs</w:t>
            </w:r>
          </w:p>
        </w:tc>
        <w:tc>
          <w:tcPr>
            <w:tcW w:w="1559" w:type="dxa"/>
            <w:tcBorders>
              <w:top w:val="single" w:sz="4" w:space="0" w:color="000000" w:themeColor="text1"/>
              <w:left w:val="nil"/>
              <w:bottom w:val="single" w:sz="4" w:space="0" w:color="000000" w:themeColor="text1"/>
              <w:right w:val="single" w:sz="4" w:space="0" w:color="000000" w:themeColor="text1"/>
            </w:tcBorders>
            <w:noWrap/>
            <w:vAlign w:val="center"/>
          </w:tcPr>
          <w:p w14:paraId="06DF8B35" w14:textId="79FDF893" w:rsidR="00EE04FB" w:rsidRPr="005D22FC" w:rsidRDefault="008B43BE" w:rsidP="00C45156">
            <w:pPr>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2 450</w:t>
            </w:r>
            <w:r w:rsidR="00D23907" w:rsidRPr="005D22FC">
              <w:rPr>
                <w:rFonts w:asciiTheme="minorHAnsi" w:hAnsiTheme="minorHAnsi" w:cstheme="minorHAnsi"/>
                <w:bCs/>
                <w:color w:val="000000" w:themeColor="text1"/>
                <w:sz w:val="22"/>
                <w:szCs w:val="22"/>
              </w:rPr>
              <w:t xml:space="preserve"> </w:t>
            </w:r>
            <w:r w:rsidR="001559B8" w:rsidRPr="005D22FC">
              <w:rPr>
                <w:rFonts w:asciiTheme="minorHAnsi" w:hAnsiTheme="minorHAnsi" w:cstheme="minorHAnsi"/>
                <w:bCs/>
                <w:color w:val="000000" w:themeColor="text1"/>
                <w:sz w:val="22"/>
                <w:szCs w:val="22"/>
              </w:rPr>
              <w:t>€</w:t>
            </w:r>
          </w:p>
        </w:tc>
        <w:tc>
          <w:tcPr>
            <w:tcW w:w="1401" w:type="dxa"/>
            <w:tcBorders>
              <w:top w:val="single" w:sz="4" w:space="0" w:color="000000" w:themeColor="text1"/>
              <w:left w:val="nil"/>
              <w:bottom w:val="single" w:sz="4" w:space="0" w:color="000000" w:themeColor="text1"/>
              <w:right w:val="single" w:sz="8" w:space="0" w:color="000000" w:themeColor="text1"/>
            </w:tcBorders>
            <w:noWrap/>
            <w:vAlign w:val="center"/>
          </w:tcPr>
          <w:p w14:paraId="48EC1E56" w14:textId="6E963B6A" w:rsidR="00EE04FB" w:rsidRPr="005D22FC" w:rsidRDefault="000265C7" w:rsidP="00C45156">
            <w:pPr>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2,45</w:t>
            </w:r>
            <w:r w:rsidR="00C45156" w:rsidRPr="005D22FC">
              <w:rPr>
                <w:rFonts w:asciiTheme="minorHAnsi" w:hAnsiTheme="minorHAnsi" w:cstheme="minorHAnsi"/>
                <w:bCs/>
                <w:color w:val="000000" w:themeColor="text1"/>
                <w:sz w:val="22"/>
                <w:szCs w:val="22"/>
              </w:rPr>
              <w:t xml:space="preserve"> </w:t>
            </w:r>
            <w:r w:rsidR="00FB4DEC" w:rsidRPr="005D22FC">
              <w:rPr>
                <w:rFonts w:asciiTheme="minorHAnsi" w:hAnsiTheme="minorHAnsi" w:cstheme="minorHAnsi"/>
                <w:bCs/>
                <w:color w:val="000000" w:themeColor="text1"/>
                <w:sz w:val="22"/>
                <w:szCs w:val="22"/>
              </w:rPr>
              <w:t>%</w:t>
            </w:r>
          </w:p>
        </w:tc>
      </w:tr>
      <w:tr w:rsidR="00770FB3" w:rsidRPr="0029329A" w14:paraId="10CCFF39" w14:textId="77777777" w:rsidTr="0B3C2BAA">
        <w:trPr>
          <w:trHeight w:val="453"/>
        </w:trPr>
        <w:tc>
          <w:tcPr>
            <w:tcW w:w="7645" w:type="dxa"/>
            <w:tcBorders>
              <w:top w:val="single" w:sz="4" w:space="0" w:color="000000" w:themeColor="text1"/>
              <w:left w:val="single" w:sz="8" w:space="0" w:color="auto"/>
              <w:bottom w:val="single" w:sz="4" w:space="0" w:color="000000" w:themeColor="text1"/>
              <w:right w:val="single" w:sz="4" w:space="0" w:color="000000" w:themeColor="text1"/>
            </w:tcBorders>
            <w:hideMark/>
          </w:tcPr>
          <w:p w14:paraId="6BB2EB16" w14:textId="3768395E" w:rsidR="00770FB3" w:rsidRPr="0029329A" w:rsidRDefault="00294F46" w:rsidP="00770FB3">
            <w:pPr>
              <w:rPr>
                <w:rFonts w:asciiTheme="minorHAnsi" w:hAnsiTheme="minorHAnsi" w:cstheme="minorHAnsi"/>
                <w:b/>
                <w:color w:val="000000" w:themeColor="text1"/>
                <w:sz w:val="22"/>
                <w:szCs w:val="22"/>
              </w:rPr>
            </w:pPr>
            <w:r>
              <w:rPr>
                <w:rFonts w:asciiTheme="minorHAnsi" w:hAnsiTheme="minorHAnsi" w:cstheme="minorHAnsi"/>
                <w:sz w:val="20"/>
                <w:szCs w:val="20"/>
              </w:rPr>
              <w:t xml:space="preserve">Frais de gestion </w:t>
            </w:r>
            <w:r>
              <w:t xml:space="preserve"> </w:t>
            </w:r>
            <w:r w:rsidRPr="003D2ABD">
              <w:rPr>
                <w:rFonts w:asciiTheme="minorHAnsi" w:hAnsiTheme="minorHAnsi" w:cstheme="minorHAnsi"/>
                <w:sz w:val="20"/>
                <w:szCs w:val="20"/>
              </w:rPr>
              <w:t>(commissions de gestion facturées au Fonds)</w:t>
            </w:r>
            <w:r w:rsidRPr="00EC6E61">
              <w:rPr>
                <w:rFonts w:asciiTheme="minorHAnsi" w:hAnsiTheme="minorHAnsi" w:cstheme="minorHAnsi"/>
                <w:sz w:val="20"/>
                <w:szCs w:val="20"/>
              </w:rPr>
              <w:br/>
            </w:r>
            <w:r w:rsidRPr="00EC6E61">
              <w:rPr>
                <w:rFonts w:asciiTheme="minorHAnsi" w:hAnsiTheme="minorHAnsi" w:cstheme="minorHAnsi"/>
                <w:b/>
                <w:bCs/>
                <w:sz w:val="20"/>
                <w:szCs w:val="20"/>
              </w:rPr>
              <w:t>07110_Financial_Instrument_Management_Fee</w:t>
            </w:r>
          </w:p>
        </w:tc>
        <w:tc>
          <w:tcPr>
            <w:tcW w:w="1559" w:type="dxa"/>
            <w:tcBorders>
              <w:top w:val="single" w:sz="4" w:space="0" w:color="000000" w:themeColor="text1"/>
              <w:left w:val="nil"/>
              <w:bottom w:val="single" w:sz="4" w:space="0" w:color="000000" w:themeColor="text1"/>
              <w:right w:val="single" w:sz="4" w:space="0" w:color="000000" w:themeColor="text1"/>
            </w:tcBorders>
            <w:noWrap/>
            <w:vAlign w:val="center"/>
            <w:hideMark/>
          </w:tcPr>
          <w:p w14:paraId="49F18F8C" w14:textId="2C9E75DF" w:rsidR="00770FB3" w:rsidRPr="005D22FC" w:rsidRDefault="00770FB3" w:rsidP="00C45156">
            <w:pPr>
              <w:jc w:val="center"/>
              <w:rPr>
                <w:rFonts w:asciiTheme="minorHAnsi" w:hAnsiTheme="minorHAnsi" w:cstheme="minorHAnsi"/>
                <w:bCs/>
                <w:color w:val="000000" w:themeColor="text1"/>
                <w:sz w:val="22"/>
                <w:szCs w:val="22"/>
              </w:rPr>
            </w:pPr>
            <w:r w:rsidRPr="005D22FC">
              <w:rPr>
                <w:rFonts w:asciiTheme="minorHAnsi" w:hAnsiTheme="minorHAnsi" w:cstheme="minorHAnsi"/>
                <w:bCs/>
                <w:color w:val="000000" w:themeColor="text1"/>
                <w:sz w:val="22"/>
                <w:szCs w:val="22"/>
              </w:rPr>
              <w:t>1</w:t>
            </w:r>
            <w:r w:rsidR="00F868BD" w:rsidRPr="005D22FC">
              <w:rPr>
                <w:rFonts w:asciiTheme="minorHAnsi" w:hAnsiTheme="minorHAnsi" w:cstheme="minorHAnsi"/>
                <w:bCs/>
                <w:color w:val="000000" w:themeColor="text1"/>
                <w:sz w:val="22"/>
                <w:szCs w:val="22"/>
              </w:rPr>
              <w:t xml:space="preserve"> </w:t>
            </w:r>
            <w:r w:rsidR="00753C34">
              <w:rPr>
                <w:rFonts w:asciiTheme="minorHAnsi" w:hAnsiTheme="minorHAnsi" w:cstheme="minorHAnsi"/>
                <w:bCs/>
                <w:color w:val="000000" w:themeColor="text1"/>
                <w:sz w:val="22"/>
                <w:szCs w:val="22"/>
              </w:rPr>
              <w:t>850</w:t>
            </w:r>
            <w:r w:rsidRPr="005D22FC">
              <w:rPr>
                <w:rFonts w:asciiTheme="minorHAnsi" w:hAnsiTheme="minorHAnsi" w:cstheme="minorHAnsi"/>
                <w:bCs/>
                <w:color w:val="000000" w:themeColor="text1"/>
                <w:sz w:val="22"/>
                <w:szCs w:val="22"/>
              </w:rPr>
              <w:t xml:space="preserve"> €</w:t>
            </w:r>
          </w:p>
        </w:tc>
        <w:tc>
          <w:tcPr>
            <w:tcW w:w="1401" w:type="dxa"/>
            <w:tcBorders>
              <w:top w:val="single" w:sz="4" w:space="0" w:color="000000" w:themeColor="text1"/>
              <w:left w:val="nil"/>
              <w:bottom w:val="single" w:sz="4" w:space="0" w:color="000000" w:themeColor="text1"/>
              <w:right w:val="single" w:sz="8" w:space="0" w:color="000000" w:themeColor="text1"/>
            </w:tcBorders>
            <w:noWrap/>
            <w:vAlign w:val="center"/>
            <w:hideMark/>
          </w:tcPr>
          <w:p w14:paraId="531CBEB5" w14:textId="6ABA304A" w:rsidR="00770FB3" w:rsidRPr="005D22FC" w:rsidRDefault="00770FB3" w:rsidP="00C45156">
            <w:pPr>
              <w:jc w:val="center"/>
              <w:rPr>
                <w:rFonts w:asciiTheme="minorHAnsi" w:hAnsiTheme="minorHAnsi" w:cstheme="minorHAnsi"/>
                <w:bCs/>
                <w:color w:val="000000" w:themeColor="text1"/>
                <w:sz w:val="22"/>
                <w:szCs w:val="22"/>
              </w:rPr>
            </w:pPr>
            <w:r w:rsidRPr="005D22FC">
              <w:rPr>
                <w:rFonts w:asciiTheme="minorHAnsi" w:hAnsiTheme="minorHAnsi" w:cstheme="minorHAnsi"/>
                <w:bCs/>
                <w:color w:val="000000" w:themeColor="text1"/>
                <w:sz w:val="22"/>
                <w:szCs w:val="22"/>
              </w:rPr>
              <w:t>1,</w:t>
            </w:r>
            <w:r w:rsidR="00753C34">
              <w:rPr>
                <w:rFonts w:asciiTheme="minorHAnsi" w:hAnsiTheme="minorHAnsi" w:cstheme="minorHAnsi"/>
                <w:bCs/>
                <w:color w:val="000000" w:themeColor="text1"/>
                <w:sz w:val="22"/>
                <w:szCs w:val="22"/>
              </w:rPr>
              <w:t>85</w:t>
            </w:r>
            <w:r w:rsidRPr="005D22FC">
              <w:rPr>
                <w:rFonts w:asciiTheme="minorHAnsi" w:hAnsiTheme="minorHAnsi" w:cstheme="minorHAnsi"/>
                <w:bCs/>
                <w:color w:val="000000" w:themeColor="text1"/>
                <w:sz w:val="22"/>
                <w:szCs w:val="22"/>
              </w:rPr>
              <w:t xml:space="preserve"> %</w:t>
            </w:r>
          </w:p>
        </w:tc>
      </w:tr>
      <w:tr w:rsidR="00770FB3" w:rsidRPr="0029329A" w14:paraId="3062ECF3" w14:textId="77777777" w:rsidTr="0B3C2BAA">
        <w:trPr>
          <w:trHeight w:val="453"/>
        </w:trPr>
        <w:tc>
          <w:tcPr>
            <w:tcW w:w="7645" w:type="dxa"/>
            <w:tcBorders>
              <w:top w:val="single" w:sz="4" w:space="0" w:color="000000" w:themeColor="text1"/>
              <w:left w:val="single" w:sz="8" w:space="0" w:color="auto"/>
              <w:bottom w:val="single" w:sz="4" w:space="0" w:color="000000" w:themeColor="text1"/>
              <w:right w:val="single" w:sz="4" w:space="0" w:color="000000" w:themeColor="text1"/>
            </w:tcBorders>
            <w:hideMark/>
          </w:tcPr>
          <w:p w14:paraId="2367DC8A" w14:textId="77777777" w:rsidR="00770FB3" w:rsidRPr="0029329A" w:rsidRDefault="00770FB3" w:rsidP="00770FB3">
            <w:pPr>
              <w:rPr>
                <w:rFonts w:asciiTheme="minorHAnsi" w:hAnsiTheme="minorHAnsi" w:cstheme="minorHAnsi"/>
                <w:b/>
                <w:color w:val="000000" w:themeColor="text1"/>
                <w:sz w:val="22"/>
                <w:szCs w:val="22"/>
              </w:rPr>
            </w:pPr>
            <w:r w:rsidRPr="0029329A">
              <w:rPr>
                <w:rFonts w:asciiTheme="minorHAnsi" w:hAnsiTheme="minorHAnsi" w:cstheme="minorHAnsi"/>
                <w:b/>
                <w:color w:val="000000" w:themeColor="text1"/>
                <w:sz w:val="22"/>
                <w:szCs w:val="22"/>
              </w:rPr>
              <w:t>Frais relatifs aux transactions :</w:t>
            </w:r>
            <w:r w:rsidRPr="0029329A">
              <w:rPr>
                <w:rFonts w:asciiTheme="minorHAnsi" w:hAnsiTheme="minorHAnsi" w:cstheme="minorHAnsi"/>
                <w:b/>
                <w:color w:val="000000" w:themeColor="text1"/>
                <w:sz w:val="22"/>
                <w:szCs w:val="22"/>
              </w:rPr>
              <w:br/>
            </w:r>
            <w:r w:rsidRPr="0029329A">
              <w:rPr>
                <w:rFonts w:asciiTheme="minorHAnsi" w:hAnsiTheme="minorHAnsi" w:cstheme="minorHAnsi"/>
                <w:b/>
                <w:bCs/>
                <w:color w:val="000000" w:themeColor="text1"/>
                <w:sz w:val="22"/>
                <w:szCs w:val="22"/>
              </w:rPr>
              <w:t>07130_Financial_Instrument_Transaction_Costs_Ex_Ante</w:t>
            </w:r>
          </w:p>
        </w:tc>
        <w:tc>
          <w:tcPr>
            <w:tcW w:w="1559" w:type="dxa"/>
            <w:tcBorders>
              <w:top w:val="single" w:sz="4" w:space="0" w:color="000000" w:themeColor="text1"/>
              <w:left w:val="nil"/>
              <w:bottom w:val="single" w:sz="4" w:space="0" w:color="000000" w:themeColor="text1"/>
              <w:right w:val="single" w:sz="4" w:space="0" w:color="000000" w:themeColor="text1"/>
            </w:tcBorders>
            <w:noWrap/>
            <w:vAlign w:val="center"/>
            <w:hideMark/>
          </w:tcPr>
          <w:p w14:paraId="628461C3" w14:textId="59BA3237" w:rsidR="00770FB3" w:rsidRPr="005D22FC" w:rsidRDefault="007E1975" w:rsidP="00C45156">
            <w:pPr>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1 500</w:t>
            </w:r>
            <w:r w:rsidR="00770FB3" w:rsidRPr="005D22FC">
              <w:rPr>
                <w:rFonts w:asciiTheme="minorHAnsi" w:hAnsiTheme="minorHAnsi" w:cstheme="minorHAnsi"/>
                <w:bCs/>
                <w:color w:val="000000" w:themeColor="text1"/>
                <w:sz w:val="22"/>
                <w:szCs w:val="22"/>
              </w:rPr>
              <w:t xml:space="preserve"> €</w:t>
            </w:r>
          </w:p>
        </w:tc>
        <w:tc>
          <w:tcPr>
            <w:tcW w:w="1401" w:type="dxa"/>
            <w:tcBorders>
              <w:top w:val="single" w:sz="4" w:space="0" w:color="000000" w:themeColor="text1"/>
              <w:left w:val="nil"/>
              <w:bottom w:val="single" w:sz="4" w:space="0" w:color="000000" w:themeColor="text1"/>
              <w:right w:val="single" w:sz="8" w:space="0" w:color="000000" w:themeColor="text1"/>
            </w:tcBorders>
            <w:noWrap/>
            <w:vAlign w:val="center"/>
            <w:hideMark/>
          </w:tcPr>
          <w:p w14:paraId="0BA7688F" w14:textId="24B4B804" w:rsidR="00770FB3" w:rsidRPr="005D22FC" w:rsidRDefault="007E1975" w:rsidP="00C45156">
            <w:pPr>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1,5</w:t>
            </w:r>
            <w:r w:rsidR="00770FB3" w:rsidRPr="005D22FC">
              <w:rPr>
                <w:rFonts w:asciiTheme="minorHAnsi" w:hAnsiTheme="minorHAnsi" w:cstheme="minorHAnsi"/>
                <w:bCs/>
                <w:color w:val="000000" w:themeColor="text1"/>
                <w:sz w:val="22"/>
                <w:szCs w:val="22"/>
              </w:rPr>
              <w:t xml:space="preserve"> %</w:t>
            </w:r>
          </w:p>
        </w:tc>
      </w:tr>
      <w:tr w:rsidR="00770FB3" w:rsidRPr="0029329A" w14:paraId="40A74607" w14:textId="77777777" w:rsidTr="0B3C2BAA">
        <w:trPr>
          <w:trHeight w:val="453"/>
        </w:trPr>
        <w:tc>
          <w:tcPr>
            <w:tcW w:w="7645" w:type="dxa"/>
            <w:tcBorders>
              <w:top w:val="single" w:sz="4" w:space="0" w:color="000000" w:themeColor="text1"/>
              <w:left w:val="single" w:sz="8" w:space="0" w:color="auto"/>
              <w:bottom w:val="single" w:sz="4" w:space="0" w:color="000000" w:themeColor="text1"/>
              <w:right w:val="single" w:sz="4" w:space="0" w:color="000000" w:themeColor="text1"/>
            </w:tcBorders>
            <w:hideMark/>
          </w:tcPr>
          <w:p w14:paraId="5E28E631" w14:textId="77777777" w:rsidR="00770FB3" w:rsidRPr="0029329A" w:rsidRDefault="00770FB3" w:rsidP="00770FB3">
            <w:pPr>
              <w:rPr>
                <w:rFonts w:asciiTheme="minorHAnsi" w:hAnsiTheme="minorHAnsi" w:cstheme="minorHAnsi"/>
                <w:b/>
                <w:color w:val="000000" w:themeColor="text1"/>
                <w:sz w:val="22"/>
                <w:szCs w:val="22"/>
              </w:rPr>
            </w:pPr>
            <w:r w:rsidRPr="0029329A">
              <w:rPr>
                <w:rFonts w:asciiTheme="minorHAnsi" w:hAnsiTheme="minorHAnsi" w:cstheme="minorHAnsi"/>
                <w:b/>
                <w:color w:val="000000" w:themeColor="text1"/>
                <w:sz w:val="22"/>
                <w:szCs w:val="22"/>
              </w:rPr>
              <w:t>Couts marginaux (commission de surperformance) :</w:t>
            </w:r>
            <w:r w:rsidRPr="0029329A">
              <w:rPr>
                <w:rFonts w:asciiTheme="minorHAnsi" w:hAnsiTheme="minorHAnsi" w:cstheme="minorHAnsi"/>
                <w:b/>
                <w:color w:val="000000" w:themeColor="text1"/>
                <w:sz w:val="22"/>
                <w:szCs w:val="22"/>
              </w:rPr>
              <w:br/>
            </w:r>
            <w:r w:rsidRPr="0029329A">
              <w:rPr>
                <w:rFonts w:asciiTheme="minorHAnsi" w:hAnsiTheme="minorHAnsi" w:cstheme="minorHAnsi"/>
                <w:b/>
                <w:bCs/>
                <w:color w:val="000000" w:themeColor="text1"/>
                <w:sz w:val="22"/>
                <w:szCs w:val="22"/>
              </w:rPr>
              <w:t>07140_Financial_Instrument_Incidental_Costs_Ex_Ante</w:t>
            </w:r>
          </w:p>
        </w:tc>
        <w:tc>
          <w:tcPr>
            <w:tcW w:w="1559" w:type="dxa"/>
            <w:tcBorders>
              <w:top w:val="single" w:sz="4" w:space="0" w:color="000000" w:themeColor="text1"/>
              <w:left w:val="nil"/>
              <w:bottom w:val="single" w:sz="4" w:space="0" w:color="000000" w:themeColor="text1"/>
              <w:right w:val="single" w:sz="4" w:space="0" w:color="000000" w:themeColor="text1"/>
            </w:tcBorders>
            <w:noWrap/>
            <w:vAlign w:val="center"/>
            <w:hideMark/>
          </w:tcPr>
          <w:p w14:paraId="6213BD51" w14:textId="77777777" w:rsidR="00770FB3" w:rsidRPr="005D22FC" w:rsidRDefault="00770FB3" w:rsidP="00C45156">
            <w:pPr>
              <w:jc w:val="center"/>
              <w:rPr>
                <w:rFonts w:asciiTheme="minorHAnsi" w:hAnsiTheme="minorHAnsi" w:cstheme="minorHAnsi"/>
                <w:bCs/>
                <w:color w:val="000000" w:themeColor="text1"/>
                <w:sz w:val="22"/>
                <w:szCs w:val="22"/>
              </w:rPr>
            </w:pPr>
            <w:r w:rsidRPr="005D22FC">
              <w:rPr>
                <w:rFonts w:asciiTheme="minorHAnsi" w:hAnsiTheme="minorHAnsi" w:cstheme="minorHAnsi"/>
                <w:bCs/>
                <w:color w:val="000000" w:themeColor="text1"/>
                <w:sz w:val="22"/>
                <w:szCs w:val="22"/>
              </w:rPr>
              <w:t>0 €</w:t>
            </w:r>
          </w:p>
        </w:tc>
        <w:tc>
          <w:tcPr>
            <w:tcW w:w="1401" w:type="dxa"/>
            <w:tcBorders>
              <w:top w:val="single" w:sz="4" w:space="0" w:color="000000" w:themeColor="text1"/>
              <w:left w:val="nil"/>
              <w:bottom w:val="single" w:sz="4" w:space="0" w:color="000000" w:themeColor="text1"/>
              <w:right w:val="single" w:sz="8" w:space="0" w:color="000000" w:themeColor="text1"/>
            </w:tcBorders>
            <w:noWrap/>
            <w:vAlign w:val="center"/>
            <w:hideMark/>
          </w:tcPr>
          <w:p w14:paraId="2A52AC43" w14:textId="77777777" w:rsidR="00770FB3" w:rsidRPr="005D22FC" w:rsidRDefault="00770FB3" w:rsidP="00C45156">
            <w:pPr>
              <w:jc w:val="center"/>
              <w:rPr>
                <w:rFonts w:asciiTheme="minorHAnsi" w:hAnsiTheme="minorHAnsi" w:cstheme="minorHAnsi"/>
                <w:bCs/>
                <w:color w:val="000000" w:themeColor="text1"/>
                <w:sz w:val="22"/>
                <w:szCs w:val="22"/>
              </w:rPr>
            </w:pPr>
            <w:r w:rsidRPr="005D22FC">
              <w:rPr>
                <w:rFonts w:asciiTheme="minorHAnsi" w:hAnsiTheme="minorHAnsi" w:cstheme="minorHAnsi"/>
                <w:bCs/>
                <w:color w:val="000000" w:themeColor="text1"/>
                <w:sz w:val="22"/>
                <w:szCs w:val="22"/>
              </w:rPr>
              <w:t>0 %</w:t>
            </w:r>
          </w:p>
        </w:tc>
      </w:tr>
      <w:tr w:rsidR="00770FB3" w:rsidRPr="0029329A" w14:paraId="2426BA8D" w14:textId="77777777" w:rsidTr="0B3C2BAA">
        <w:trPr>
          <w:trHeight w:val="221"/>
        </w:trPr>
        <w:tc>
          <w:tcPr>
            <w:tcW w:w="7645" w:type="dxa"/>
            <w:tcBorders>
              <w:top w:val="single" w:sz="4" w:space="0" w:color="000000" w:themeColor="text1"/>
              <w:left w:val="single" w:sz="8" w:space="0" w:color="auto"/>
              <w:bottom w:val="single" w:sz="8" w:space="0" w:color="auto"/>
              <w:right w:val="single" w:sz="4" w:space="0" w:color="000000" w:themeColor="text1"/>
            </w:tcBorders>
            <w:shd w:val="clear" w:color="auto" w:fill="D9D9D9" w:themeFill="background1" w:themeFillShade="D9"/>
            <w:hideMark/>
          </w:tcPr>
          <w:p w14:paraId="6C366384" w14:textId="77777777" w:rsidR="00770FB3" w:rsidRPr="0029329A" w:rsidRDefault="00770FB3" w:rsidP="00770FB3">
            <w:pP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SOUS-TOTAL</w:t>
            </w:r>
          </w:p>
        </w:tc>
        <w:tc>
          <w:tcPr>
            <w:tcW w:w="1559" w:type="dxa"/>
            <w:tcBorders>
              <w:top w:val="single" w:sz="4" w:space="0" w:color="000000" w:themeColor="text1"/>
              <w:left w:val="nil"/>
              <w:bottom w:val="single" w:sz="8" w:space="0" w:color="auto"/>
              <w:right w:val="single" w:sz="4" w:space="0" w:color="000000" w:themeColor="text1"/>
            </w:tcBorders>
            <w:shd w:val="clear" w:color="auto" w:fill="D9D9D9" w:themeFill="background1" w:themeFillShade="D9"/>
            <w:noWrap/>
            <w:vAlign w:val="center"/>
            <w:hideMark/>
          </w:tcPr>
          <w:p w14:paraId="7D94AB25" w14:textId="67BADFC9" w:rsidR="00770FB3" w:rsidRPr="0029329A" w:rsidRDefault="00AC778C" w:rsidP="00C45156">
            <w:pPr>
              <w:jc w:val="cente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8 </w:t>
            </w:r>
            <w:r w:rsidR="00C45156">
              <w:rPr>
                <w:rFonts w:asciiTheme="minorHAnsi" w:hAnsiTheme="minorHAnsi" w:cstheme="minorHAnsi"/>
                <w:b/>
                <w:bCs/>
                <w:color w:val="000000" w:themeColor="text1"/>
                <w:sz w:val="22"/>
                <w:szCs w:val="22"/>
              </w:rPr>
              <w:t>3</w:t>
            </w:r>
            <w:r w:rsidR="006F7E72">
              <w:rPr>
                <w:rFonts w:asciiTheme="minorHAnsi" w:hAnsiTheme="minorHAnsi" w:cstheme="minorHAnsi"/>
                <w:b/>
                <w:bCs/>
                <w:color w:val="000000" w:themeColor="text1"/>
                <w:sz w:val="22"/>
                <w:szCs w:val="22"/>
              </w:rPr>
              <w:t>00</w:t>
            </w:r>
            <w:r w:rsidR="00C45156">
              <w:rPr>
                <w:rFonts w:asciiTheme="minorHAnsi" w:hAnsiTheme="minorHAnsi" w:cstheme="minorHAnsi"/>
                <w:b/>
                <w:bCs/>
                <w:color w:val="000000" w:themeColor="text1"/>
                <w:sz w:val="22"/>
                <w:szCs w:val="22"/>
              </w:rPr>
              <w:t>,0</w:t>
            </w:r>
            <w:r w:rsidR="006F7E72">
              <w:rPr>
                <w:rFonts w:asciiTheme="minorHAnsi" w:hAnsiTheme="minorHAnsi" w:cstheme="minorHAnsi"/>
                <w:b/>
                <w:bCs/>
                <w:color w:val="000000" w:themeColor="text1"/>
                <w:sz w:val="22"/>
                <w:szCs w:val="22"/>
              </w:rPr>
              <w:t>0</w:t>
            </w:r>
            <w:r w:rsidR="00F868BD">
              <w:rPr>
                <w:rFonts w:asciiTheme="minorHAnsi" w:hAnsiTheme="minorHAnsi" w:cstheme="minorHAnsi"/>
                <w:b/>
                <w:bCs/>
                <w:color w:val="000000" w:themeColor="text1"/>
                <w:sz w:val="22"/>
                <w:szCs w:val="22"/>
              </w:rPr>
              <w:t xml:space="preserve"> </w:t>
            </w:r>
            <w:r w:rsidR="00770FB3" w:rsidRPr="0029329A">
              <w:rPr>
                <w:rFonts w:asciiTheme="minorHAnsi" w:hAnsiTheme="minorHAnsi" w:cstheme="minorHAnsi"/>
                <w:b/>
                <w:bCs/>
                <w:color w:val="000000" w:themeColor="text1"/>
                <w:sz w:val="22"/>
                <w:szCs w:val="22"/>
              </w:rPr>
              <w:t>€</w:t>
            </w:r>
          </w:p>
        </w:tc>
        <w:tc>
          <w:tcPr>
            <w:tcW w:w="1401" w:type="dxa"/>
            <w:tcBorders>
              <w:top w:val="single" w:sz="4" w:space="0" w:color="000000" w:themeColor="text1"/>
              <w:left w:val="nil"/>
              <w:bottom w:val="single" w:sz="8" w:space="0" w:color="auto"/>
              <w:right w:val="single" w:sz="8" w:space="0" w:color="000000" w:themeColor="text1"/>
            </w:tcBorders>
            <w:shd w:val="clear" w:color="auto" w:fill="D9D9D9" w:themeFill="background1" w:themeFillShade="D9"/>
            <w:noWrap/>
            <w:vAlign w:val="center"/>
            <w:hideMark/>
          </w:tcPr>
          <w:p w14:paraId="4B76B5BC" w14:textId="7CBF56C3" w:rsidR="00770FB3" w:rsidRPr="0029329A" w:rsidRDefault="00E77A48" w:rsidP="00C45156">
            <w:pPr>
              <w:jc w:val="cente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8,</w:t>
            </w:r>
            <w:r w:rsidR="00C45156">
              <w:rPr>
                <w:rFonts w:asciiTheme="minorHAnsi" w:hAnsiTheme="minorHAnsi" w:cstheme="minorHAnsi"/>
                <w:b/>
                <w:bCs/>
                <w:color w:val="000000" w:themeColor="text1"/>
                <w:sz w:val="22"/>
                <w:szCs w:val="22"/>
              </w:rPr>
              <w:t>3</w:t>
            </w:r>
            <w:r w:rsidR="006F7E72">
              <w:rPr>
                <w:rFonts w:asciiTheme="minorHAnsi" w:hAnsiTheme="minorHAnsi" w:cstheme="minorHAnsi"/>
                <w:b/>
                <w:bCs/>
                <w:color w:val="000000" w:themeColor="text1"/>
                <w:sz w:val="22"/>
                <w:szCs w:val="22"/>
              </w:rPr>
              <w:t>0</w:t>
            </w:r>
            <w:r w:rsidR="00C45156">
              <w:rPr>
                <w:rFonts w:asciiTheme="minorHAnsi" w:hAnsiTheme="minorHAnsi" w:cstheme="minorHAnsi"/>
                <w:b/>
                <w:bCs/>
                <w:color w:val="000000" w:themeColor="text1"/>
                <w:sz w:val="22"/>
                <w:szCs w:val="22"/>
              </w:rPr>
              <w:t xml:space="preserve"> </w:t>
            </w:r>
            <w:r w:rsidR="00770FB3" w:rsidRPr="0029329A">
              <w:rPr>
                <w:rFonts w:asciiTheme="minorHAnsi" w:hAnsiTheme="minorHAnsi" w:cstheme="minorHAnsi"/>
                <w:b/>
                <w:bCs/>
                <w:color w:val="000000" w:themeColor="text1"/>
                <w:sz w:val="22"/>
                <w:szCs w:val="22"/>
              </w:rPr>
              <w:t>%</w:t>
            </w:r>
          </w:p>
        </w:tc>
      </w:tr>
      <w:tr w:rsidR="00770FB3" w:rsidRPr="0029329A" w14:paraId="22718127" w14:textId="77777777" w:rsidTr="0B3C2BAA">
        <w:trPr>
          <w:trHeight w:val="240"/>
        </w:trPr>
        <w:tc>
          <w:tcPr>
            <w:tcW w:w="7645" w:type="dxa"/>
            <w:tcBorders>
              <w:top w:val="single" w:sz="4" w:space="0" w:color="000000" w:themeColor="text1"/>
              <w:left w:val="single" w:sz="8" w:space="0" w:color="auto"/>
              <w:bottom w:val="single" w:sz="8" w:space="0" w:color="auto"/>
              <w:right w:val="single" w:sz="4" w:space="0" w:color="000000" w:themeColor="text1"/>
            </w:tcBorders>
            <w:shd w:val="clear" w:color="auto" w:fill="D9D9D9" w:themeFill="background1" w:themeFillShade="D9"/>
            <w:hideMark/>
          </w:tcPr>
          <w:p w14:paraId="7CCF711C" w14:textId="77777777" w:rsidR="00770FB3" w:rsidRPr="0029329A" w:rsidRDefault="00770FB3" w:rsidP="00770FB3">
            <w:pP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COUTS ET FRAIS TOTAUX</w:t>
            </w:r>
          </w:p>
        </w:tc>
        <w:tc>
          <w:tcPr>
            <w:tcW w:w="1559" w:type="dxa"/>
            <w:tcBorders>
              <w:top w:val="single" w:sz="4" w:space="0" w:color="000000" w:themeColor="text1"/>
              <w:left w:val="nil"/>
              <w:bottom w:val="single" w:sz="8" w:space="0" w:color="auto"/>
              <w:right w:val="single" w:sz="4" w:space="0" w:color="000000" w:themeColor="text1"/>
            </w:tcBorders>
            <w:shd w:val="clear" w:color="auto" w:fill="D9D9D9" w:themeFill="background1" w:themeFillShade="D9"/>
            <w:vAlign w:val="center"/>
            <w:hideMark/>
          </w:tcPr>
          <w:p w14:paraId="3D3340B9" w14:textId="3A763D2C" w:rsidR="00770FB3" w:rsidRPr="0029329A" w:rsidRDefault="00C45156" w:rsidP="00C45156">
            <w:pPr>
              <w:jc w:val="cente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1</w:t>
            </w:r>
            <w:r w:rsidR="00BF3A56">
              <w:rPr>
                <w:rFonts w:asciiTheme="minorHAnsi" w:hAnsiTheme="minorHAnsi" w:cstheme="minorHAnsi"/>
                <w:b/>
                <w:bCs/>
                <w:color w:val="000000" w:themeColor="text1"/>
                <w:sz w:val="22"/>
                <w:szCs w:val="22"/>
              </w:rPr>
              <w:t>4</w:t>
            </w:r>
            <w:r>
              <w:rPr>
                <w:rFonts w:asciiTheme="minorHAnsi" w:hAnsiTheme="minorHAnsi" w:cstheme="minorHAnsi"/>
                <w:b/>
                <w:bCs/>
                <w:color w:val="000000" w:themeColor="text1"/>
                <w:sz w:val="22"/>
                <w:szCs w:val="22"/>
              </w:rPr>
              <w:t xml:space="preserve"> </w:t>
            </w:r>
            <w:r w:rsidR="00BF3A56">
              <w:rPr>
                <w:rFonts w:asciiTheme="minorHAnsi" w:hAnsiTheme="minorHAnsi" w:cstheme="minorHAnsi"/>
                <w:b/>
                <w:bCs/>
                <w:color w:val="000000" w:themeColor="text1"/>
                <w:sz w:val="22"/>
                <w:szCs w:val="22"/>
              </w:rPr>
              <w:t>050</w:t>
            </w:r>
            <w:r>
              <w:rPr>
                <w:rFonts w:asciiTheme="minorHAnsi" w:hAnsiTheme="minorHAnsi" w:cstheme="minorHAnsi"/>
                <w:b/>
                <w:bCs/>
                <w:color w:val="000000" w:themeColor="text1"/>
                <w:sz w:val="22"/>
                <w:szCs w:val="22"/>
              </w:rPr>
              <w:t>,0</w:t>
            </w:r>
            <w:r w:rsidR="00BF3A56">
              <w:rPr>
                <w:rFonts w:asciiTheme="minorHAnsi" w:hAnsiTheme="minorHAnsi" w:cstheme="minorHAnsi"/>
                <w:b/>
                <w:bCs/>
                <w:color w:val="000000" w:themeColor="text1"/>
                <w:sz w:val="22"/>
                <w:szCs w:val="22"/>
              </w:rPr>
              <w:t>0</w:t>
            </w:r>
            <w:r w:rsidR="00770FB3" w:rsidRPr="0029329A">
              <w:rPr>
                <w:rFonts w:asciiTheme="minorHAnsi" w:hAnsiTheme="minorHAnsi" w:cstheme="minorHAnsi"/>
                <w:b/>
                <w:bCs/>
                <w:color w:val="000000" w:themeColor="text1"/>
                <w:sz w:val="22"/>
                <w:szCs w:val="22"/>
              </w:rPr>
              <w:t xml:space="preserve"> €</w:t>
            </w:r>
          </w:p>
        </w:tc>
        <w:tc>
          <w:tcPr>
            <w:tcW w:w="1401" w:type="dxa"/>
            <w:tcBorders>
              <w:top w:val="single" w:sz="8" w:space="0" w:color="auto"/>
              <w:left w:val="nil"/>
              <w:bottom w:val="single" w:sz="8" w:space="0" w:color="auto"/>
              <w:right w:val="single" w:sz="8" w:space="0" w:color="000000" w:themeColor="text1"/>
            </w:tcBorders>
            <w:shd w:val="clear" w:color="auto" w:fill="D9D9D9" w:themeFill="background1" w:themeFillShade="D9"/>
            <w:noWrap/>
            <w:vAlign w:val="center"/>
            <w:hideMark/>
          </w:tcPr>
          <w:p w14:paraId="7246D54B" w14:textId="5A9169AE" w:rsidR="00770FB3" w:rsidRPr="0029329A" w:rsidRDefault="00BF3A56" w:rsidP="00C45156">
            <w:pPr>
              <w:jc w:val="cente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14,05</w:t>
            </w:r>
            <w:r w:rsidR="00C45156">
              <w:rPr>
                <w:rFonts w:asciiTheme="minorHAnsi" w:hAnsiTheme="minorHAnsi" w:cstheme="minorHAnsi"/>
                <w:b/>
                <w:bCs/>
                <w:color w:val="000000" w:themeColor="text1"/>
                <w:sz w:val="22"/>
                <w:szCs w:val="22"/>
              </w:rPr>
              <w:t xml:space="preserve"> </w:t>
            </w:r>
            <w:r w:rsidR="00770FB3" w:rsidRPr="0029329A">
              <w:rPr>
                <w:rFonts w:asciiTheme="minorHAnsi" w:hAnsiTheme="minorHAnsi" w:cstheme="minorHAnsi"/>
                <w:b/>
                <w:bCs/>
                <w:color w:val="000000" w:themeColor="text1"/>
                <w:sz w:val="22"/>
                <w:szCs w:val="22"/>
              </w:rPr>
              <w:t>%</w:t>
            </w:r>
          </w:p>
        </w:tc>
      </w:tr>
    </w:tbl>
    <w:p w14:paraId="4C15FB1F" w14:textId="77777777" w:rsidR="006B641E" w:rsidRDefault="006B641E">
      <w:pPr>
        <w:rPr>
          <w:rFonts w:asciiTheme="minorHAnsi" w:hAnsiTheme="minorHAnsi" w:cstheme="minorHAnsi"/>
          <w:bCs/>
          <w:color w:val="000000" w:themeColor="text1"/>
          <w:sz w:val="22"/>
          <w:szCs w:val="22"/>
        </w:rPr>
      </w:pPr>
    </w:p>
    <w:p w14:paraId="2D88D0A8" w14:textId="4D2D54D5" w:rsidR="00931B41" w:rsidRPr="006046A8" w:rsidRDefault="007A46B1" w:rsidP="00931B41">
      <w:pPr>
        <w:pStyle w:val="Default"/>
        <w:rPr>
          <w:rFonts w:asciiTheme="minorHAnsi" w:eastAsia="Times New Roman" w:hAnsiTheme="minorHAnsi" w:cstheme="minorHAnsi"/>
          <w:bCs/>
          <w:color w:val="000000" w:themeColor="text1"/>
          <w:sz w:val="22"/>
          <w:szCs w:val="22"/>
          <w:lang w:eastAsia="fr-FR"/>
        </w:rPr>
      </w:pPr>
      <w:r>
        <w:rPr>
          <w:rFonts w:asciiTheme="minorHAnsi" w:hAnsiTheme="minorHAnsi" w:cstheme="minorHAnsi"/>
          <w:b/>
          <w:color w:val="000000" w:themeColor="text1"/>
          <w:sz w:val="22"/>
          <w:szCs w:val="22"/>
        </w:rPr>
        <w:t>*</w:t>
      </w:r>
      <w:r w:rsidR="00931B41" w:rsidRPr="00931B41">
        <w:rPr>
          <w:color w:val="1E1E41"/>
          <w:sz w:val="20"/>
          <w:szCs w:val="20"/>
        </w:rPr>
        <w:t xml:space="preserve"> </w:t>
      </w:r>
      <w:r w:rsidR="00931B41" w:rsidRPr="006046A8">
        <w:rPr>
          <w:rFonts w:asciiTheme="minorHAnsi" w:eastAsia="Times New Roman" w:hAnsiTheme="minorHAnsi" w:cstheme="minorHAnsi"/>
          <w:bCs/>
          <w:color w:val="000000" w:themeColor="text1"/>
          <w:sz w:val="22"/>
          <w:szCs w:val="22"/>
          <w:lang w:eastAsia="fr-FR"/>
        </w:rPr>
        <w:t>5 % TTC max. du montant investi (2,5 % les 6 premiers mois</w:t>
      </w:r>
      <w:r w:rsidR="00894814" w:rsidRPr="006046A8">
        <w:rPr>
          <w:rFonts w:asciiTheme="minorHAnsi" w:eastAsia="Times New Roman" w:hAnsiTheme="minorHAnsi" w:cstheme="minorHAnsi"/>
          <w:bCs/>
          <w:color w:val="000000" w:themeColor="text1"/>
          <w:sz w:val="22"/>
          <w:szCs w:val="22"/>
          <w:lang w:eastAsia="fr-FR"/>
        </w:rPr>
        <w:t xml:space="preserve"> </w:t>
      </w:r>
      <w:r w:rsidR="00931B41" w:rsidRPr="006046A8">
        <w:rPr>
          <w:rFonts w:asciiTheme="minorHAnsi" w:eastAsia="Times New Roman" w:hAnsiTheme="minorHAnsi" w:cstheme="minorHAnsi"/>
          <w:bCs/>
          <w:color w:val="000000" w:themeColor="text1"/>
          <w:sz w:val="22"/>
          <w:szCs w:val="22"/>
          <w:lang w:eastAsia="fr-FR"/>
        </w:rPr>
        <w:t xml:space="preserve">de la période de souscription) </w:t>
      </w:r>
    </w:p>
    <w:p w14:paraId="5BC8E974" w14:textId="4FFB0A89" w:rsidR="007A46B1" w:rsidRPr="002B716C" w:rsidRDefault="007A46B1" w:rsidP="007A46B1">
      <w:pPr>
        <w:rPr>
          <w:rFonts w:asciiTheme="minorHAnsi" w:hAnsiTheme="minorHAnsi" w:cstheme="minorHAnsi"/>
          <w:bCs/>
          <w:sz w:val="22"/>
          <w:szCs w:val="22"/>
        </w:rPr>
      </w:pPr>
    </w:p>
    <w:p w14:paraId="3EF4D710" w14:textId="45B0F356" w:rsidR="00AB5543" w:rsidRDefault="00AB5543">
      <w:pPr>
        <w:rPr>
          <w:rFonts w:asciiTheme="minorHAnsi" w:hAnsiTheme="minorHAnsi" w:cstheme="minorHAnsi"/>
          <w:b/>
          <w:color w:val="000000" w:themeColor="text1"/>
          <w:sz w:val="22"/>
          <w:szCs w:val="22"/>
        </w:rPr>
      </w:pPr>
    </w:p>
    <w:p w14:paraId="49E9057B" w14:textId="6C7587A8" w:rsidR="00AB5543" w:rsidRDefault="00AB5543">
      <w:pPr>
        <w:rPr>
          <w:rFonts w:asciiTheme="minorHAnsi" w:hAnsiTheme="minorHAnsi" w:cstheme="minorHAnsi"/>
          <w:b/>
          <w:color w:val="000000" w:themeColor="text1"/>
          <w:sz w:val="22"/>
          <w:szCs w:val="22"/>
        </w:rPr>
      </w:pPr>
    </w:p>
    <w:sectPr w:rsidR="00AB5543" w:rsidSect="00DD1700">
      <w:headerReference w:type="default" r:id="rId14"/>
      <w:footerReference w:type="default" r:id="rId15"/>
      <w:pgSz w:w="11906" w:h="16838" w:code="9"/>
      <w:pgMar w:top="1701" w:right="1134" w:bottom="1418" w:left="1134" w:header="352"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C09B0" w14:textId="77777777" w:rsidR="003B3BF4" w:rsidRDefault="003B3BF4">
      <w:r>
        <w:separator/>
      </w:r>
    </w:p>
  </w:endnote>
  <w:endnote w:type="continuationSeparator" w:id="0">
    <w:p w14:paraId="484A8D24" w14:textId="77777777" w:rsidR="003B3BF4" w:rsidRDefault="003B3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League Spartan">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B8DB9" w14:textId="1467F99C" w:rsidR="00F27369" w:rsidRPr="00F27369" w:rsidRDefault="00F27369" w:rsidP="00F27369">
    <w:pPr>
      <w:tabs>
        <w:tab w:val="center" w:pos="4536"/>
        <w:tab w:val="right" w:pos="9072"/>
      </w:tabs>
      <w:jc w:val="center"/>
      <w:rPr>
        <w:rFonts w:ascii="Calibri" w:eastAsia="Calibri" w:hAnsi="Calibri" w:cs="Arial"/>
        <w:color w:val="A6A6A6"/>
        <w:sz w:val="18"/>
        <w:szCs w:val="18"/>
        <w:lang w:eastAsia="en-US"/>
      </w:rPr>
    </w:pPr>
    <w:r w:rsidRPr="00F27369">
      <w:rPr>
        <w:rFonts w:ascii="Calibri" w:eastAsia="Calibri" w:hAnsi="Calibri" w:cs="Arial"/>
        <w:color w:val="A6A6A6"/>
        <w:sz w:val="18"/>
        <w:szCs w:val="18"/>
        <w:lang w:eastAsia="en-US"/>
      </w:rPr>
      <w:t>PIERRE PREMIER GESTION -</w:t>
    </w:r>
    <w:r w:rsidR="00AE5E6A">
      <w:rPr>
        <w:rFonts w:ascii="Calibri" w:eastAsia="Calibri" w:hAnsi="Calibri" w:cs="Arial"/>
        <w:color w:val="A6A6A6"/>
        <w:sz w:val="18"/>
        <w:szCs w:val="18"/>
        <w:lang w:eastAsia="en-US"/>
      </w:rPr>
      <w:t xml:space="preserve"> </w:t>
    </w:r>
    <w:r w:rsidR="00AE5E6A" w:rsidRPr="00AE5E6A">
      <w:rPr>
        <w:rFonts w:ascii="Calibri" w:eastAsia="Calibri" w:hAnsi="Calibri" w:cs="Arial"/>
        <w:color w:val="A6A6A6"/>
        <w:sz w:val="18"/>
        <w:szCs w:val="18"/>
        <w:lang w:eastAsia="en-US"/>
      </w:rPr>
      <w:t>31-35 rue Froidevaux - 75014 Paris - SAS au capital de 500 000 euros</w:t>
    </w:r>
    <w:r w:rsidRPr="00F27369">
      <w:rPr>
        <w:rFonts w:ascii="Calibri" w:eastAsia="Calibri" w:hAnsi="Calibri" w:cs="Arial"/>
        <w:color w:val="A6A6A6"/>
        <w:sz w:val="18"/>
        <w:szCs w:val="18"/>
        <w:lang w:eastAsia="en-US"/>
      </w:rPr>
      <w:t xml:space="preserve"> - RCS Paris 813 903 390 – Agrément AMF GP-15000024</w:t>
    </w:r>
  </w:p>
  <w:sdt>
    <w:sdtPr>
      <w:rPr>
        <w:rFonts w:ascii="Calibri" w:eastAsia="Calibri" w:hAnsi="Calibri" w:cs="Arial"/>
        <w:sz w:val="22"/>
        <w:szCs w:val="22"/>
        <w:lang w:eastAsia="en-US"/>
      </w:rPr>
      <w:id w:val="-1948461517"/>
      <w:docPartObj>
        <w:docPartGallery w:val="Page Numbers (Top of Page)"/>
        <w:docPartUnique/>
      </w:docPartObj>
    </w:sdtPr>
    <w:sdtContent>
      <w:p w14:paraId="5E3322D1" w14:textId="5E91C2E6" w:rsidR="00C7645A" w:rsidRPr="003531B1" w:rsidRDefault="00F27369" w:rsidP="003531B1">
        <w:pPr>
          <w:tabs>
            <w:tab w:val="center" w:pos="4536"/>
            <w:tab w:val="right" w:pos="9026"/>
            <w:tab w:val="right" w:pos="9072"/>
          </w:tabs>
          <w:jc w:val="center"/>
          <w:rPr>
            <w:rFonts w:ascii="Calibri" w:eastAsia="Calibri" w:hAnsi="Calibri" w:cs="Arial"/>
            <w:sz w:val="22"/>
            <w:szCs w:val="22"/>
            <w:lang w:eastAsia="en-US"/>
          </w:rPr>
        </w:pPr>
        <w:r w:rsidRPr="00F27369">
          <w:rPr>
            <w:rFonts w:ascii="Calibri" w:eastAsia="Calibri" w:hAnsi="Calibri" w:cs="Arial"/>
            <w:sz w:val="22"/>
            <w:szCs w:val="22"/>
            <w:lang w:eastAsia="en-US"/>
          </w:rPr>
          <w:t xml:space="preserve">Page </w:t>
        </w:r>
        <w:r w:rsidRPr="00F27369">
          <w:rPr>
            <w:rFonts w:ascii="Calibri" w:eastAsia="Calibri" w:hAnsi="Calibri" w:cs="Arial"/>
            <w:b/>
            <w:bCs/>
            <w:lang w:eastAsia="en-US"/>
          </w:rPr>
          <w:fldChar w:fldCharType="begin"/>
        </w:r>
        <w:r w:rsidRPr="00F27369">
          <w:rPr>
            <w:rFonts w:ascii="Calibri" w:eastAsia="Calibri" w:hAnsi="Calibri" w:cs="Arial"/>
            <w:b/>
            <w:bCs/>
            <w:sz w:val="22"/>
            <w:szCs w:val="22"/>
            <w:lang w:eastAsia="en-US"/>
          </w:rPr>
          <w:instrText>PAGE</w:instrText>
        </w:r>
        <w:r w:rsidRPr="00F27369">
          <w:rPr>
            <w:rFonts w:ascii="Calibri" w:eastAsia="Calibri" w:hAnsi="Calibri" w:cs="Arial"/>
            <w:b/>
            <w:bCs/>
            <w:lang w:eastAsia="en-US"/>
          </w:rPr>
          <w:fldChar w:fldCharType="separate"/>
        </w:r>
        <w:r w:rsidRPr="00F27369">
          <w:rPr>
            <w:rFonts w:ascii="Calibri" w:eastAsia="Calibri" w:hAnsi="Calibri" w:cs="Arial"/>
            <w:b/>
            <w:bCs/>
            <w:lang w:eastAsia="en-US"/>
          </w:rPr>
          <w:t>1</w:t>
        </w:r>
        <w:r w:rsidRPr="00F27369">
          <w:rPr>
            <w:rFonts w:ascii="Calibri" w:eastAsia="Calibri" w:hAnsi="Calibri" w:cs="Arial"/>
            <w:b/>
            <w:bCs/>
            <w:lang w:eastAsia="en-US"/>
          </w:rPr>
          <w:fldChar w:fldCharType="end"/>
        </w:r>
        <w:r w:rsidRPr="00F27369">
          <w:rPr>
            <w:rFonts w:ascii="Calibri" w:eastAsia="Calibri" w:hAnsi="Calibri" w:cs="Arial"/>
            <w:sz w:val="22"/>
            <w:szCs w:val="22"/>
            <w:lang w:eastAsia="en-US"/>
          </w:rPr>
          <w:t xml:space="preserve"> sur </w:t>
        </w:r>
        <w:r w:rsidRPr="00F27369">
          <w:rPr>
            <w:rFonts w:ascii="Calibri" w:eastAsia="Calibri" w:hAnsi="Calibri" w:cs="Arial"/>
            <w:b/>
            <w:bCs/>
            <w:lang w:eastAsia="en-US"/>
          </w:rPr>
          <w:fldChar w:fldCharType="begin"/>
        </w:r>
        <w:r w:rsidRPr="00F27369">
          <w:rPr>
            <w:rFonts w:ascii="Calibri" w:eastAsia="Calibri" w:hAnsi="Calibri" w:cs="Arial"/>
            <w:b/>
            <w:bCs/>
            <w:sz w:val="22"/>
            <w:szCs w:val="22"/>
            <w:lang w:eastAsia="en-US"/>
          </w:rPr>
          <w:instrText>NUMPAGES</w:instrText>
        </w:r>
        <w:r w:rsidRPr="00F27369">
          <w:rPr>
            <w:rFonts w:ascii="Calibri" w:eastAsia="Calibri" w:hAnsi="Calibri" w:cs="Arial"/>
            <w:b/>
            <w:bCs/>
            <w:lang w:eastAsia="en-US"/>
          </w:rPr>
          <w:fldChar w:fldCharType="separate"/>
        </w:r>
        <w:r w:rsidRPr="00F27369">
          <w:rPr>
            <w:rFonts w:ascii="Calibri" w:eastAsia="Calibri" w:hAnsi="Calibri" w:cs="Arial"/>
            <w:b/>
            <w:bCs/>
            <w:lang w:eastAsia="en-US"/>
          </w:rPr>
          <w:t>10</w:t>
        </w:r>
        <w:r w:rsidRPr="00F27369">
          <w:rPr>
            <w:rFonts w:ascii="Calibri" w:eastAsia="Calibri" w:hAnsi="Calibri" w:cs="Arial"/>
            <w:b/>
            <w:bCs/>
            <w:lang w:eastAsia="en-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FC721" w14:textId="77777777" w:rsidR="003B3BF4" w:rsidRDefault="003B3BF4">
      <w:r>
        <w:separator/>
      </w:r>
    </w:p>
  </w:footnote>
  <w:footnote w:type="continuationSeparator" w:id="0">
    <w:p w14:paraId="124A1747" w14:textId="77777777" w:rsidR="003B3BF4" w:rsidRDefault="003B3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A939" w14:textId="16D5A884" w:rsidR="007B45D8" w:rsidRPr="00EF64FF" w:rsidRDefault="009B7ADF" w:rsidP="003531B1">
    <w:pPr>
      <w:pStyle w:val="En-tte"/>
    </w:pPr>
    <w:r>
      <w:rPr>
        <w:noProof/>
      </w:rPr>
      <w:drawing>
        <wp:inline distT="0" distB="0" distL="0" distR="0" wp14:anchorId="1758E233" wp14:editId="47EA7A9F">
          <wp:extent cx="2493645" cy="536575"/>
          <wp:effectExtent l="0" t="0" r="190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536575"/>
                  </a:xfrm>
                  <a:prstGeom prst="rect">
                    <a:avLst/>
                  </a:prstGeom>
                  <a:noFill/>
                </pic:spPr>
              </pic:pic>
            </a:graphicData>
          </a:graphic>
        </wp:inline>
      </w:drawing>
    </w:r>
    <w:r w:rsidRPr="003531B1">
      <w:rPr>
        <w:sz w:val="18"/>
        <w:szCs w:val="18"/>
      </w:rPr>
      <w:ptab w:relativeTo="margin" w:alignment="center" w:leader="none"/>
    </w:r>
    <w:r w:rsidRPr="003531B1">
      <w:rPr>
        <w:sz w:val="18"/>
        <w:szCs w:val="18"/>
      </w:rPr>
      <w:ptab w:relativeTo="margin" w:alignment="right" w:leader="none"/>
    </w:r>
    <w:r w:rsidRPr="003531B1">
      <w:rPr>
        <w:sz w:val="18"/>
        <w:szCs w:val="18"/>
      </w:rPr>
      <w:t>M</w:t>
    </w:r>
    <w:r w:rsidR="003B59F4">
      <w:rPr>
        <w:sz w:val="18"/>
        <w:szCs w:val="18"/>
      </w:rPr>
      <w:t>ise à jour</w:t>
    </w:r>
    <w:r w:rsidRPr="003531B1">
      <w:rPr>
        <w:sz w:val="18"/>
        <w:szCs w:val="18"/>
      </w:rPr>
      <w:t xml:space="preserve"> </w:t>
    </w:r>
    <w:r w:rsidR="001332DE">
      <w:rPr>
        <w:sz w:val="18"/>
        <w:szCs w:val="18"/>
      </w:rPr>
      <w:t>30</w:t>
    </w:r>
    <w:r w:rsidR="009B20E2">
      <w:rPr>
        <w:sz w:val="18"/>
        <w:szCs w:val="18"/>
      </w:rPr>
      <w:t>/07/2026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hybridMultilevel"/>
    <w:tmpl w:val="00000009"/>
    <w:lvl w:ilvl="0" w:tplc="00000321">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792A15"/>
    <w:multiLevelType w:val="hybridMultilevel"/>
    <w:tmpl w:val="36445C0C"/>
    <w:lvl w:ilvl="0" w:tplc="BB5AF91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15:restartNumberingAfterBreak="0">
    <w:nsid w:val="06261029"/>
    <w:multiLevelType w:val="hybridMultilevel"/>
    <w:tmpl w:val="574C5464"/>
    <w:lvl w:ilvl="0" w:tplc="FACE5CFA">
      <w:start w:val="1"/>
      <w:numFmt w:val="bullet"/>
      <w:lvlText w:val="•"/>
      <w:lvlJc w:val="left"/>
      <w:pPr>
        <w:tabs>
          <w:tab w:val="num" w:pos="720"/>
        </w:tabs>
        <w:ind w:left="720" w:hanging="360"/>
      </w:pPr>
      <w:rPr>
        <w:rFonts w:ascii="Arial" w:hAnsi="Arial" w:hint="default"/>
      </w:rPr>
    </w:lvl>
    <w:lvl w:ilvl="1" w:tplc="42D8C6BA" w:tentative="1">
      <w:start w:val="1"/>
      <w:numFmt w:val="bullet"/>
      <w:lvlText w:val="•"/>
      <w:lvlJc w:val="left"/>
      <w:pPr>
        <w:tabs>
          <w:tab w:val="num" w:pos="1440"/>
        </w:tabs>
        <w:ind w:left="1440" w:hanging="360"/>
      </w:pPr>
      <w:rPr>
        <w:rFonts w:ascii="Arial" w:hAnsi="Arial" w:hint="default"/>
      </w:rPr>
    </w:lvl>
    <w:lvl w:ilvl="2" w:tplc="82EAC7C4" w:tentative="1">
      <w:start w:val="1"/>
      <w:numFmt w:val="bullet"/>
      <w:lvlText w:val="•"/>
      <w:lvlJc w:val="left"/>
      <w:pPr>
        <w:tabs>
          <w:tab w:val="num" w:pos="2160"/>
        </w:tabs>
        <w:ind w:left="2160" w:hanging="360"/>
      </w:pPr>
      <w:rPr>
        <w:rFonts w:ascii="Arial" w:hAnsi="Arial" w:hint="default"/>
      </w:rPr>
    </w:lvl>
    <w:lvl w:ilvl="3" w:tplc="526EA3DE" w:tentative="1">
      <w:start w:val="1"/>
      <w:numFmt w:val="bullet"/>
      <w:lvlText w:val="•"/>
      <w:lvlJc w:val="left"/>
      <w:pPr>
        <w:tabs>
          <w:tab w:val="num" w:pos="2880"/>
        </w:tabs>
        <w:ind w:left="2880" w:hanging="360"/>
      </w:pPr>
      <w:rPr>
        <w:rFonts w:ascii="Arial" w:hAnsi="Arial" w:hint="default"/>
      </w:rPr>
    </w:lvl>
    <w:lvl w:ilvl="4" w:tplc="F516E50C" w:tentative="1">
      <w:start w:val="1"/>
      <w:numFmt w:val="bullet"/>
      <w:lvlText w:val="•"/>
      <w:lvlJc w:val="left"/>
      <w:pPr>
        <w:tabs>
          <w:tab w:val="num" w:pos="3600"/>
        </w:tabs>
        <w:ind w:left="3600" w:hanging="360"/>
      </w:pPr>
      <w:rPr>
        <w:rFonts w:ascii="Arial" w:hAnsi="Arial" w:hint="default"/>
      </w:rPr>
    </w:lvl>
    <w:lvl w:ilvl="5" w:tplc="97A04156" w:tentative="1">
      <w:start w:val="1"/>
      <w:numFmt w:val="bullet"/>
      <w:lvlText w:val="•"/>
      <w:lvlJc w:val="left"/>
      <w:pPr>
        <w:tabs>
          <w:tab w:val="num" w:pos="4320"/>
        </w:tabs>
        <w:ind w:left="4320" w:hanging="360"/>
      </w:pPr>
      <w:rPr>
        <w:rFonts w:ascii="Arial" w:hAnsi="Arial" w:hint="default"/>
      </w:rPr>
    </w:lvl>
    <w:lvl w:ilvl="6" w:tplc="D5CA359E" w:tentative="1">
      <w:start w:val="1"/>
      <w:numFmt w:val="bullet"/>
      <w:lvlText w:val="•"/>
      <w:lvlJc w:val="left"/>
      <w:pPr>
        <w:tabs>
          <w:tab w:val="num" w:pos="5040"/>
        </w:tabs>
        <w:ind w:left="5040" w:hanging="360"/>
      </w:pPr>
      <w:rPr>
        <w:rFonts w:ascii="Arial" w:hAnsi="Arial" w:hint="default"/>
      </w:rPr>
    </w:lvl>
    <w:lvl w:ilvl="7" w:tplc="52A628DC" w:tentative="1">
      <w:start w:val="1"/>
      <w:numFmt w:val="bullet"/>
      <w:lvlText w:val="•"/>
      <w:lvlJc w:val="left"/>
      <w:pPr>
        <w:tabs>
          <w:tab w:val="num" w:pos="5760"/>
        </w:tabs>
        <w:ind w:left="5760" w:hanging="360"/>
      </w:pPr>
      <w:rPr>
        <w:rFonts w:ascii="Arial" w:hAnsi="Arial" w:hint="default"/>
      </w:rPr>
    </w:lvl>
    <w:lvl w:ilvl="8" w:tplc="CB646E3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A0C0DFD"/>
    <w:multiLevelType w:val="hybridMultilevel"/>
    <w:tmpl w:val="3248853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AD52D11"/>
    <w:multiLevelType w:val="hybridMultilevel"/>
    <w:tmpl w:val="7D98B548"/>
    <w:lvl w:ilvl="0" w:tplc="F8C2B59A">
      <w:start w:val="1"/>
      <w:numFmt w:val="decimal"/>
      <w:lvlText w:val="%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0B1841C0"/>
    <w:multiLevelType w:val="hybridMultilevel"/>
    <w:tmpl w:val="74C40E8A"/>
    <w:lvl w:ilvl="0" w:tplc="40AC64FC">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BA62365"/>
    <w:multiLevelType w:val="hybridMultilevel"/>
    <w:tmpl w:val="58A64B5E"/>
    <w:lvl w:ilvl="0" w:tplc="DA0C7614">
      <w:start w:val="1"/>
      <w:numFmt w:val="decimal"/>
      <w:lvlText w:val="%1."/>
      <w:lvlJc w:val="left"/>
      <w:pPr>
        <w:ind w:left="1074" w:hanging="360"/>
      </w:pPr>
      <w:rPr>
        <w:rFonts w:hint="default"/>
      </w:rPr>
    </w:lvl>
    <w:lvl w:ilvl="1" w:tplc="040C0019" w:tentative="1">
      <w:start w:val="1"/>
      <w:numFmt w:val="lowerLetter"/>
      <w:lvlText w:val="%2."/>
      <w:lvlJc w:val="left"/>
      <w:pPr>
        <w:ind w:left="1794" w:hanging="360"/>
      </w:pPr>
    </w:lvl>
    <w:lvl w:ilvl="2" w:tplc="040C001B" w:tentative="1">
      <w:start w:val="1"/>
      <w:numFmt w:val="lowerRoman"/>
      <w:lvlText w:val="%3."/>
      <w:lvlJc w:val="right"/>
      <w:pPr>
        <w:ind w:left="2514" w:hanging="180"/>
      </w:pPr>
    </w:lvl>
    <w:lvl w:ilvl="3" w:tplc="040C000F" w:tentative="1">
      <w:start w:val="1"/>
      <w:numFmt w:val="decimal"/>
      <w:lvlText w:val="%4."/>
      <w:lvlJc w:val="left"/>
      <w:pPr>
        <w:ind w:left="3234" w:hanging="360"/>
      </w:pPr>
    </w:lvl>
    <w:lvl w:ilvl="4" w:tplc="040C0019" w:tentative="1">
      <w:start w:val="1"/>
      <w:numFmt w:val="lowerLetter"/>
      <w:lvlText w:val="%5."/>
      <w:lvlJc w:val="left"/>
      <w:pPr>
        <w:ind w:left="3954" w:hanging="360"/>
      </w:pPr>
    </w:lvl>
    <w:lvl w:ilvl="5" w:tplc="040C001B" w:tentative="1">
      <w:start w:val="1"/>
      <w:numFmt w:val="lowerRoman"/>
      <w:lvlText w:val="%6."/>
      <w:lvlJc w:val="right"/>
      <w:pPr>
        <w:ind w:left="4674" w:hanging="180"/>
      </w:pPr>
    </w:lvl>
    <w:lvl w:ilvl="6" w:tplc="040C000F" w:tentative="1">
      <w:start w:val="1"/>
      <w:numFmt w:val="decimal"/>
      <w:lvlText w:val="%7."/>
      <w:lvlJc w:val="left"/>
      <w:pPr>
        <w:ind w:left="5394" w:hanging="360"/>
      </w:pPr>
    </w:lvl>
    <w:lvl w:ilvl="7" w:tplc="040C0019" w:tentative="1">
      <w:start w:val="1"/>
      <w:numFmt w:val="lowerLetter"/>
      <w:lvlText w:val="%8."/>
      <w:lvlJc w:val="left"/>
      <w:pPr>
        <w:ind w:left="6114" w:hanging="360"/>
      </w:pPr>
    </w:lvl>
    <w:lvl w:ilvl="8" w:tplc="040C001B" w:tentative="1">
      <w:start w:val="1"/>
      <w:numFmt w:val="lowerRoman"/>
      <w:lvlText w:val="%9."/>
      <w:lvlJc w:val="right"/>
      <w:pPr>
        <w:ind w:left="6834" w:hanging="180"/>
      </w:pPr>
    </w:lvl>
  </w:abstractNum>
  <w:abstractNum w:abstractNumId="8" w15:restartNumberingAfterBreak="0">
    <w:nsid w:val="12B3063A"/>
    <w:multiLevelType w:val="hybridMultilevel"/>
    <w:tmpl w:val="1F88097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4761F20"/>
    <w:multiLevelType w:val="hybridMultilevel"/>
    <w:tmpl w:val="1F88097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4A07AAA"/>
    <w:multiLevelType w:val="hybridMultilevel"/>
    <w:tmpl w:val="2ABE0A60"/>
    <w:lvl w:ilvl="0" w:tplc="FFFFFFFF">
      <w:start w:val="2"/>
      <w:numFmt w:val="decimal"/>
      <w:lvlText w:val="%1."/>
      <w:lvlJc w:val="left"/>
      <w:pPr>
        <w:ind w:left="1068" w:hanging="360"/>
      </w:pPr>
      <w:rPr>
        <w:rFonts w:eastAsia="MS Mincho" w:hint="default"/>
        <w:b/>
        <w:color w:val="002060"/>
        <w:sz w:val="22"/>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2B591FAE"/>
    <w:multiLevelType w:val="hybridMultilevel"/>
    <w:tmpl w:val="926CBB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06A7E9B"/>
    <w:multiLevelType w:val="hybridMultilevel"/>
    <w:tmpl w:val="CC7652BE"/>
    <w:lvl w:ilvl="0" w:tplc="052823C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612AF6"/>
    <w:multiLevelType w:val="hybridMultilevel"/>
    <w:tmpl w:val="05F4DFB0"/>
    <w:lvl w:ilvl="0" w:tplc="26EA3604">
      <w:start w:val="3"/>
      <w:numFmt w:val="bullet"/>
      <w:lvlText w:val="-"/>
      <w:lvlJc w:val="left"/>
      <w:pPr>
        <w:tabs>
          <w:tab w:val="num" w:pos="720"/>
        </w:tabs>
        <w:ind w:left="720" w:hanging="360"/>
      </w:pPr>
      <w:rPr>
        <w:rFonts w:ascii="Arial" w:eastAsia="Times"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633148"/>
    <w:multiLevelType w:val="hybridMultilevel"/>
    <w:tmpl w:val="BDA846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70C6ABE"/>
    <w:multiLevelType w:val="hybridMultilevel"/>
    <w:tmpl w:val="A934C3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AA84DEF"/>
    <w:multiLevelType w:val="hybridMultilevel"/>
    <w:tmpl w:val="BDA846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B3B59E6"/>
    <w:multiLevelType w:val="hybridMultilevel"/>
    <w:tmpl w:val="F2C4032A"/>
    <w:lvl w:ilvl="0" w:tplc="CE2E4B3C">
      <w:start w:val="1"/>
      <w:numFmt w:val="bullet"/>
      <w:lvlText w:val=""/>
      <w:lvlJc w:val="left"/>
      <w:pPr>
        <w:ind w:left="720" w:hanging="360"/>
      </w:pPr>
      <w:rPr>
        <w:rFonts w:ascii="Wingdings" w:hAnsi="Wingdings" w:hint="default"/>
        <w:color w:val="C000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E184057"/>
    <w:multiLevelType w:val="hybridMultilevel"/>
    <w:tmpl w:val="14B23150"/>
    <w:lvl w:ilvl="0" w:tplc="040C0019">
      <w:start w:val="1"/>
      <w:numFmt w:val="lowerLetter"/>
      <w:lvlText w:val="%1."/>
      <w:lvlJc w:val="left"/>
      <w:pPr>
        <w:ind w:left="1788" w:hanging="360"/>
      </w:pPr>
    </w:lvl>
    <w:lvl w:ilvl="1" w:tplc="040C0019" w:tentative="1">
      <w:start w:val="1"/>
      <w:numFmt w:val="lowerLetter"/>
      <w:lvlText w:val="%2."/>
      <w:lvlJc w:val="left"/>
      <w:pPr>
        <w:ind w:left="2508" w:hanging="360"/>
      </w:pPr>
    </w:lvl>
    <w:lvl w:ilvl="2" w:tplc="040C001B" w:tentative="1">
      <w:start w:val="1"/>
      <w:numFmt w:val="lowerRoman"/>
      <w:lvlText w:val="%3."/>
      <w:lvlJc w:val="right"/>
      <w:pPr>
        <w:ind w:left="3228" w:hanging="180"/>
      </w:pPr>
    </w:lvl>
    <w:lvl w:ilvl="3" w:tplc="040C000F" w:tentative="1">
      <w:start w:val="1"/>
      <w:numFmt w:val="decimal"/>
      <w:lvlText w:val="%4."/>
      <w:lvlJc w:val="left"/>
      <w:pPr>
        <w:ind w:left="3948" w:hanging="360"/>
      </w:pPr>
    </w:lvl>
    <w:lvl w:ilvl="4" w:tplc="040C0019" w:tentative="1">
      <w:start w:val="1"/>
      <w:numFmt w:val="lowerLetter"/>
      <w:lvlText w:val="%5."/>
      <w:lvlJc w:val="left"/>
      <w:pPr>
        <w:ind w:left="4668" w:hanging="360"/>
      </w:pPr>
    </w:lvl>
    <w:lvl w:ilvl="5" w:tplc="040C001B" w:tentative="1">
      <w:start w:val="1"/>
      <w:numFmt w:val="lowerRoman"/>
      <w:lvlText w:val="%6."/>
      <w:lvlJc w:val="right"/>
      <w:pPr>
        <w:ind w:left="5388" w:hanging="180"/>
      </w:pPr>
    </w:lvl>
    <w:lvl w:ilvl="6" w:tplc="040C000F" w:tentative="1">
      <w:start w:val="1"/>
      <w:numFmt w:val="decimal"/>
      <w:lvlText w:val="%7."/>
      <w:lvlJc w:val="left"/>
      <w:pPr>
        <w:ind w:left="6108" w:hanging="360"/>
      </w:pPr>
    </w:lvl>
    <w:lvl w:ilvl="7" w:tplc="040C0019" w:tentative="1">
      <w:start w:val="1"/>
      <w:numFmt w:val="lowerLetter"/>
      <w:lvlText w:val="%8."/>
      <w:lvlJc w:val="left"/>
      <w:pPr>
        <w:ind w:left="6828" w:hanging="360"/>
      </w:pPr>
    </w:lvl>
    <w:lvl w:ilvl="8" w:tplc="040C001B" w:tentative="1">
      <w:start w:val="1"/>
      <w:numFmt w:val="lowerRoman"/>
      <w:lvlText w:val="%9."/>
      <w:lvlJc w:val="right"/>
      <w:pPr>
        <w:ind w:left="7548" w:hanging="180"/>
      </w:pPr>
    </w:lvl>
  </w:abstractNum>
  <w:abstractNum w:abstractNumId="19" w15:restartNumberingAfterBreak="0">
    <w:nsid w:val="510D26C5"/>
    <w:multiLevelType w:val="hybridMultilevel"/>
    <w:tmpl w:val="2ABE0A60"/>
    <w:lvl w:ilvl="0" w:tplc="9956EE72">
      <w:start w:val="2"/>
      <w:numFmt w:val="decimal"/>
      <w:lvlText w:val="%1."/>
      <w:lvlJc w:val="left"/>
      <w:pPr>
        <w:ind w:left="1068" w:hanging="360"/>
      </w:pPr>
      <w:rPr>
        <w:rFonts w:eastAsia="MS Mincho" w:hint="default"/>
        <w:b/>
        <w:color w:val="002060"/>
        <w:sz w:val="22"/>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0" w15:restartNumberingAfterBreak="0">
    <w:nsid w:val="51DF21AC"/>
    <w:multiLevelType w:val="hybridMultilevel"/>
    <w:tmpl w:val="A22ACB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2026976"/>
    <w:multiLevelType w:val="hybridMultilevel"/>
    <w:tmpl w:val="7682D6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4EA66F9"/>
    <w:multiLevelType w:val="hybridMultilevel"/>
    <w:tmpl w:val="8914494A"/>
    <w:lvl w:ilvl="0" w:tplc="BEB82FD6">
      <w:start w:val="4"/>
      <w:numFmt w:val="bullet"/>
      <w:lvlText w:val="-"/>
      <w:lvlJc w:val="left"/>
      <w:pPr>
        <w:ind w:left="360" w:hanging="360"/>
      </w:pPr>
      <w:rPr>
        <w:rFonts w:ascii="Arial" w:eastAsiaTheme="minorHAnsi" w:hAnsi="Arial" w:cs="Arial" w:hint="default"/>
      </w:rPr>
    </w:lvl>
    <w:lvl w:ilvl="1" w:tplc="040C0003">
      <w:start w:val="1"/>
      <w:numFmt w:val="bullet"/>
      <w:lvlText w:val="o"/>
      <w:lvlJc w:val="left"/>
      <w:pPr>
        <w:ind w:left="2375" w:hanging="360"/>
      </w:pPr>
      <w:rPr>
        <w:rFonts w:ascii="Courier New" w:hAnsi="Courier New" w:cs="Courier New" w:hint="default"/>
      </w:rPr>
    </w:lvl>
    <w:lvl w:ilvl="2" w:tplc="040C0005" w:tentative="1">
      <w:start w:val="1"/>
      <w:numFmt w:val="bullet"/>
      <w:lvlText w:val=""/>
      <w:lvlJc w:val="left"/>
      <w:pPr>
        <w:ind w:left="3095" w:hanging="360"/>
      </w:pPr>
      <w:rPr>
        <w:rFonts w:ascii="Wingdings" w:hAnsi="Wingdings" w:hint="default"/>
      </w:rPr>
    </w:lvl>
    <w:lvl w:ilvl="3" w:tplc="040C0001" w:tentative="1">
      <w:start w:val="1"/>
      <w:numFmt w:val="bullet"/>
      <w:lvlText w:val=""/>
      <w:lvlJc w:val="left"/>
      <w:pPr>
        <w:ind w:left="3815" w:hanging="360"/>
      </w:pPr>
      <w:rPr>
        <w:rFonts w:ascii="Symbol" w:hAnsi="Symbol" w:hint="default"/>
      </w:rPr>
    </w:lvl>
    <w:lvl w:ilvl="4" w:tplc="040C0003" w:tentative="1">
      <w:start w:val="1"/>
      <w:numFmt w:val="bullet"/>
      <w:lvlText w:val="o"/>
      <w:lvlJc w:val="left"/>
      <w:pPr>
        <w:ind w:left="4535" w:hanging="360"/>
      </w:pPr>
      <w:rPr>
        <w:rFonts w:ascii="Courier New" w:hAnsi="Courier New" w:cs="Courier New" w:hint="default"/>
      </w:rPr>
    </w:lvl>
    <w:lvl w:ilvl="5" w:tplc="040C0005" w:tentative="1">
      <w:start w:val="1"/>
      <w:numFmt w:val="bullet"/>
      <w:lvlText w:val=""/>
      <w:lvlJc w:val="left"/>
      <w:pPr>
        <w:ind w:left="5255" w:hanging="360"/>
      </w:pPr>
      <w:rPr>
        <w:rFonts w:ascii="Wingdings" w:hAnsi="Wingdings" w:hint="default"/>
      </w:rPr>
    </w:lvl>
    <w:lvl w:ilvl="6" w:tplc="040C0001" w:tentative="1">
      <w:start w:val="1"/>
      <w:numFmt w:val="bullet"/>
      <w:lvlText w:val=""/>
      <w:lvlJc w:val="left"/>
      <w:pPr>
        <w:ind w:left="5975" w:hanging="360"/>
      </w:pPr>
      <w:rPr>
        <w:rFonts w:ascii="Symbol" w:hAnsi="Symbol" w:hint="default"/>
      </w:rPr>
    </w:lvl>
    <w:lvl w:ilvl="7" w:tplc="040C0003" w:tentative="1">
      <w:start w:val="1"/>
      <w:numFmt w:val="bullet"/>
      <w:lvlText w:val="o"/>
      <w:lvlJc w:val="left"/>
      <w:pPr>
        <w:ind w:left="6695" w:hanging="360"/>
      </w:pPr>
      <w:rPr>
        <w:rFonts w:ascii="Courier New" w:hAnsi="Courier New" w:cs="Courier New" w:hint="default"/>
      </w:rPr>
    </w:lvl>
    <w:lvl w:ilvl="8" w:tplc="040C0005" w:tentative="1">
      <w:start w:val="1"/>
      <w:numFmt w:val="bullet"/>
      <w:lvlText w:val=""/>
      <w:lvlJc w:val="left"/>
      <w:pPr>
        <w:ind w:left="7415" w:hanging="360"/>
      </w:pPr>
      <w:rPr>
        <w:rFonts w:ascii="Wingdings" w:hAnsi="Wingdings" w:hint="default"/>
      </w:rPr>
    </w:lvl>
  </w:abstractNum>
  <w:abstractNum w:abstractNumId="23" w15:restartNumberingAfterBreak="0">
    <w:nsid w:val="561F3A31"/>
    <w:multiLevelType w:val="hybridMultilevel"/>
    <w:tmpl w:val="6186D2F6"/>
    <w:lvl w:ilvl="0" w:tplc="040C0003">
      <w:start w:val="1"/>
      <w:numFmt w:val="bullet"/>
      <w:lvlText w:val="o"/>
      <w:lvlJc w:val="left"/>
      <w:pPr>
        <w:ind w:left="1146" w:hanging="360"/>
      </w:pPr>
      <w:rPr>
        <w:rFonts w:ascii="Courier New" w:hAnsi="Courier New" w:cs="Courier New"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4" w15:restartNumberingAfterBreak="0">
    <w:nsid w:val="580510BB"/>
    <w:multiLevelType w:val="hybridMultilevel"/>
    <w:tmpl w:val="36445C0C"/>
    <w:lvl w:ilvl="0" w:tplc="BB5AF91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5" w15:restartNumberingAfterBreak="0">
    <w:nsid w:val="58ED5438"/>
    <w:multiLevelType w:val="hybridMultilevel"/>
    <w:tmpl w:val="8DF2E282"/>
    <w:lvl w:ilvl="0" w:tplc="730C057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9236884"/>
    <w:multiLevelType w:val="hybridMultilevel"/>
    <w:tmpl w:val="58A64B5E"/>
    <w:lvl w:ilvl="0" w:tplc="DA0C7614">
      <w:start w:val="1"/>
      <w:numFmt w:val="decimal"/>
      <w:lvlText w:val="%1."/>
      <w:lvlJc w:val="left"/>
      <w:pPr>
        <w:ind w:left="1074" w:hanging="360"/>
      </w:pPr>
      <w:rPr>
        <w:rFonts w:hint="default"/>
      </w:rPr>
    </w:lvl>
    <w:lvl w:ilvl="1" w:tplc="040C0019" w:tentative="1">
      <w:start w:val="1"/>
      <w:numFmt w:val="lowerLetter"/>
      <w:lvlText w:val="%2."/>
      <w:lvlJc w:val="left"/>
      <w:pPr>
        <w:ind w:left="1794" w:hanging="360"/>
      </w:pPr>
    </w:lvl>
    <w:lvl w:ilvl="2" w:tplc="040C001B" w:tentative="1">
      <w:start w:val="1"/>
      <w:numFmt w:val="lowerRoman"/>
      <w:lvlText w:val="%3."/>
      <w:lvlJc w:val="right"/>
      <w:pPr>
        <w:ind w:left="2514" w:hanging="180"/>
      </w:pPr>
    </w:lvl>
    <w:lvl w:ilvl="3" w:tplc="040C000F" w:tentative="1">
      <w:start w:val="1"/>
      <w:numFmt w:val="decimal"/>
      <w:lvlText w:val="%4."/>
      <w:lvlJc w:val="left"/>
      <w:pPr>
        <w:ind w:left="3234" w:hanging="360"/>
      </w:pPr>
    </w:lvl>
    <w:lvl w:ilvl="4" w:tplc="040C0019" w:tentative="1">
      <w:start w:val="1"/>
      <w:numFmt w:val="lowerLetter"/>
      <w:lvlText w:val="%5."/>
      <w:lvlJc w:val="left"/>
      <w:pPr>
        <w:ind w:left="3954" w:hanging="360"/>
      </w:pPr>
    </w:lvl>
    <w:lvl w:ilvl="5" w:tplc="040C001B" w:tentative="1">
      <w:start w:val="1"/>
      <w:numFmt w:val="lowerRoman"/>
      <w:lvlText w:val="%6."/>
      <w:lvlJc w:val="right"/>
      <w:pPr>
        <w:ind w:left="4674" w:hanging="180"/>
      </w:pPr>
    </w:lvl>
    <w:lvl w:ilvl="6" w:tplc="040C000F" w:tentative="1">
      <w:start w:val="1"/>
      <w:numFmt w:val="decimal"/>
      <w:lvlText w:val="%7."/>
      <w:lvlJc w:val="left"/>
      <w:pPr>
        <w:ind w:left="5394" w:hanging="360"/>
      </w:pPr>
    </w:lvl>
    <w:lvl w:ilvl="7" w:tplc="040C0019" w:tentative="1">
      <w:start w:val="1"/>
      <w:numFmt w:val="lowerLetter"/>
      <w:lvlText w:val="%8."/>
      <w:lvlJc w:val="left"/>
      <w:pPr>
        <w:ind w:left="6114" w:hanging="360"/>
      </w:pPr>
    </w:lvl>
    <w:lvl w:ilvl="8" w:tplc="040C001B" w:tentative="1">
      <w:start w:val="1"/>
      <w:numFmt w:val="lowerRoman"/>
      <w:lvlText w:val="%9."/>
      <w:lvlJc w:val="right"/>
      <w:pPr>
        <w:ind w:left="6834" w:hanging="180"/>
      </w:pPr>
    </w:lvl>
  </w:abstractNum>
  <w:abstractNum w:abstractNumId="27" w15:restartNumberingAfterBreak="0">
    <w:nsid w:val="5AA708E5"/>
    <w:multiLevelType w:val="hybridMultilevel"/>
    <w:tmpl w:val="F1F6F8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BAF241F"/>
    <w:multiLevelType w:val="hybridMultilevel"/>
    <w:tmpl w:val="D67003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C684919"/>
    <w:multiLevelType w:val="hybridMultilevel"/>
    <w:tmpl w:val="248088A4"/>
    <w:lvl w:ilvl="0" w:tplc="74FA313E">
      <w:start w:val="1"/>
      <w:numFmt w:val="decimal"/>
      <w:lvlText w:val="%1."/>
      <w:lvlJc w:val="left"/>
      <w:pPr>
        <w:ind w:left="268" w:hanging="142"/>
      </w:pPr>
      <w:rPr>
        <w:rFonts w:ascii="Calibri" w:eastAsia="Calibri" w:hAnsi="Calibri" w:cs="Calibri" w:hint="default"/>
        <w:b w:val="0"/>
        <w:bCs w:val="0"/>
        <w:i w:val="0"/>
        <w:iCs w:val="0"/>
        <w:w w:val="100"/>
        <w:sz w:val="16"/>
        <w:szCs w:val="16"/>
        <w:lang w:val="fr-FR" w:eastAsia="en-US" w:bidi="ar-SA"/>
      </w:rPr>
    </w:lvl>
    <w:lvl w:ilvl="1" w:tplc="71DCA49C">
      <w:numFmt w:val="bullet"/>
      <w:lvlText w:val="•"/>
      <w:lvlJc w:val="left"/>
      <w:pPr>
        <w:ind w:left="1364" w:hanging="142"/>
      </w:pPr>
      <w:rPr>
        <w:rFonts w:hint="default"/>
        <w:lang w:val="fr-FR" w:eastAsia="en-US" w:bidi="ar-SA"/>
      </w:rPr>
    </w:lvl>
    <w:lvl w:ilvl="2" w:tplc="A350C62E">
      <w:numFmt w:val="bullet"/>
      <w:lvlText w:val="•"/>
      <w:lvlJc w:val="left"/>
      <w:pPr>
        <w:ind w:left="2469" w:hanging="142"/>
      </w:pPr>
      <w:rPr>
        <w:rFonts w:hint="default"/>
        <w:lang w:val="fr-FR" w:eastAsia="en-US" w:bidi="ar-SA"/>
      </w:rPr>
    </w:lvl>
    <w:lvl w:ilvl="3" w:tplc="75107F18">
      <w:numFmt w:val="bullet"/>
      <w:lvlText w:val="•"/>
      <w:lvlJc w:val="left"/>
      <w:pPr>
        <w:ind w:left="3573" w:hanging="142"/>
      </w:pPr>
      <w:rPr>
        <w:rFonts w:hint="default"/>
        <w:lang w:val="fr-FR" w:eastAsia="en-US" w:bidi="ar-SA"/>
      </w:rPr>
    </w:lvl>
    <w:lvl w:ilvl="4" w:tplc="3F8A0CC4">
      <w:numFmt w:val="bullet"/>
      <w:lvlText w:val="•"/>
      <w:lvlJc w:val="left"/>
      <w:pPr>
        <w:ind w:left="4678" w:hanging="142"/>
      </w:pPr>
      <w:rPr>
        <w:rFonts w:hint="default"/>
        <w:lang w:val="fr-FR" w:eastAsia="en-US" w:bidi="ar-SA"/>
      </w:rPr>
    </w:lvl>
    <w:lvl w:ilvl="5" w:tplc="1F2072A8">
      <w:numFmt w:val="bullet"/>
      <w:lvlText w:val="•"/>
      <w:lvlJc w:val="left"/>
      <w:pPr>
        <w:ind w:left="5783" w:hanging="142"/>
      </w:pPr>
      <w:rPr>
        <w:rFonts w:hint="default"/>
        <w:lang w:val="fr-FR" w:eastAsia="en-US" w:bidi="ar-SA"/>
      </w:rPr>
    </w:lvl>
    <w:lvl w:ilvl="6" w:tplc="22D4898E">
      <w:numFmt w:val="bullet"/>
      <w:lvlText w:val="•"/>
      <w:lvlJc w:val="left"/>
      <w:pPr>
        <w:ind w:left="6887" w:hanging="142"/>
      </w:pPr>
      <w:rPr>
        <w:rFonts w:hint="default"/>
        <w:lang w:val="fr-FR" w:eastAsia="en-US" w:bidi="ar-SA"/>
      </w:rPr>
    </w:lvl>
    <w:lvl w:ilvl="7" w:tplc="A1DACECA">
      <w:numFmt w:val="bullet"/>
      <w:lvlText w:val="•"/>
      <w:lvlJc w:val="left"/>
      <w:pPr>
        <w:ind w:left="7992" w:hanging="142"/>
      </w:pPr>
      <w:rPr>
        <w:rFonts w:hint="default"/>
        <w:lang w:val="fr-FR" w:eastAsia="en-US" w:bidi="ar-SA"/>
      </w:rPr>
    </w:lvl>
    <w:lvl w:ilvl="8" w:tplc="D6728758">
      <w:numFmt w:val="bullet"/>
      <w:lvlText w:val="•"/>
      <w:lvlJc w:val="left"/>
      <w:pPr>
        <w:ind w:left="9097" w:hanging="142"/>
      </w:pPr>
      <w:rPr>
        <w:rFonts w:hint="default"/>
        <w:lang w:val="fr-FR" w:eastAsia="en-US" w:bidi="ar-SA"/>
      </w:rPr>
    </w:lvl>
  </w:abstractNum>
  <w:abstractNum w:abstractNumId="30" w15:restartNumberingAfterBreak="0">
    <w:nsid w:val="5CDC2CA9"/>
    <w:multiLevelType w:val="hybridMultilevel"/>
    <w:tmpl w:val="FAEA712E"/>
    <w:lvl w:ilvl="0" w:tplc="6D5A9910">
      <w:numFmt w:val="bullet"/>
      <w:lvlText w:val="-"/>
      <w:lvlJc w:val="left"/>
      <w:pPr>
        <w:ind w:left="1866" w:hanging="360"/>
      </w:pPr>
      <w:rPr>
        <w:rFonts w:ascii="Calibri" w:eastAsia="Times New Roman" w:hAnsi="Calibri" w:cs="Calibri" w:hint="default"/>
      </w:rPr>
    </w:lvl>
    <w:lvl w:ilvl="1" w:tplc="040C0003" w:tentative="1">
      <w:start w:val="1"/>
      <w:numFmt w:val="bullet"/>
      <w:lvlText w:val="o"/>
      <w:lvlJc w:val="left"/>
      <w:pPr>
        <w:ind w:left="2586" w:hanging="360"/>
      </w:pPr>
      <w:rPr>
        <w:rFonts w:ascii="Courier New" w:hAnsi="Courier New" w:cs="Courier New" w:hint="default"/>
      </w:rPr>
    </w:lvl>
    <w:lvl w:ilvl="2" w:tplc="040C0005" w:tentative="1">
      <w:start w:val="1"/>
      <w:numFmt w:val="bullet"/>
      <w:lvlText w:val=""/>
      <w:lvlJc w:val="left"/>
      <w:pPr>
        <w:ind w:left="3306" w:hanging="360"/>
      </w:pPr>
      <w:rPr>
        <w:rFonts w:ascii="Wingdings" w:hAnsi="Wingdings" w:hint="default"/>
      </w:rPr>
    </w:lvl>
    <w:lvl w:ilvl="3" w:tplc="040C0001" w:tentative="1">
      <w:start w:val="1"/>
      <w:numFmt w:val="bullet"/>
      <w:lvlText w:val=""/>
      <w:lvlJc w:val="left"/>
      <w:pPr>
        <w:ind w:left="4026" w:hanging="360"/>
      </w:pPr>
      <w:rPr>
        <w:rFonts w:ascii="Symbol" w:hAnsi="Symbol" w:hint="default"/>
      </w:rPr>
    </w:lvl>
    <w:lvl w:ilvl="4" w:tplc="040C0003" w:tentative="1">
      <w:start w:val="1"/>
      <w:numFmt w:val="bullet"/>
      <w:lvlText w:val="o"/>
      <w:lvlJc w:val="left"/>
      <w:pPr>
        <w:ind w:left="4746" w:hanging="360"/>
      </w:pPr>
      <w:rPr>
        <w:rFonts w:ascii="Courier New" w:hAnsi="Courier New" w:cs="Courier New" w:hint="default"/>
      </w:rPr>
    </w:lvl>
    <w:lvl w:ilvl="5" w:tplc="040C0005" w:tentative="1">
      <w:start w:val="1"/>
      <w:numFmt w:val="bullet"/>
      <w:lvlText w:val=""/>
      <w:lvlJc w:val="left"/>
      <w:pPr>
        <w:ind w:left="5466" w:hanging="360"/>
      </w:pPr>
      <w:rPr>
        <w:rFonts w:ascii="Wingdings" w:hAnsi="Wingdings" w:hint="default"/>
      </w:rPr>
    </w:lvl>
    <w:lvl w:ilvl="6" w:tplc="040C0001" w:tentative="1">
      <w:start w:val="1"/>
      <w:numFmt w:val="bullet"/>
      <w:lvlText w:val=""/>
      <w:lvlJc w:val="left"/>
      <w:pPr>
        <w:ind w:left="6186" w:hanging="360"/>
      </w:pPr>
      <w:rPr>
        <w:rFonts w:ascii="Symbol" w:hAnsi="Symbol" w:hint="default"/>
      </w:rPr>
    </w:lvl>
    <w:lvl w:ilvl="7" w:tplc="040C0003" w:tentative="1">
      <w:start w:val="1"/>
      <w:numFmt w:val="bullet"/>
      <w:lvlText w:val="o"/>
      <w:lvlJc w:val="left"/>
      <w:pPr>
        <w:ind w:left="6906" w:hanging="360"/>
      </w:pPr>
      <w:rPr>
        <w:rFonts w:ascii="Courier New" w:hAnsi="Courier New" w:cs="Courier New" w:hint="default"/>
      </w:rPr>
    </w:lvl>
    <w:lvl w:ilvl="8" w:tplc="040C0005" w:tentative="1">
      <w:start w:val="1"/>
      <w:numFmt w:val="bullet"/>
      <w:lvlText w:val=""/>
      <w:lvlJc w:val="left"/>
      <w:pPr>
        <w:ind w:left="7626" w:hanging="360"/>
      </w:pPr>
      <w:rPr>
        <w:rFonts w:ascii="Wingdings" w:hAnsi="Wingdings" w:hint="default"/>
      </w:rPr>
    </w:lvl>
  </w:abstractNum>
  <w:abstractNum w:abstractNumId="31" w15:restartNumberingAfterBreak="0">
    <w:nsid w:val="5D4D0BC2"/>
    <w:multiLevelType w:val="hybridMultilevel"/>
    <w:tmpl w:val="E4A64896"/>
    <w:lvl w:ilvl="0" w:tplc="686A24D4">
      <w:start w:val="2240"/>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5EFF207B"/>
    <w:multiLevelType w:val="hybridMultilevel"/>
    <w:tmpl w:val="A2FE7310"/>
    <w:lvl w:ilvl="0" w:tplc="6D5A9910">
      <w:numFmt w:val="bullet"/>
      <w:lvlText w:val="-"/>
      <w:lvlJc w:val="left"/>
      <w:pPr>
        <w:ind w:left="786" w:hanging="360"/>
      </w:pPr>
      <w:rPr>
        <w:rFonts w:ascii="Calibri" w:eastAsia="Times New Roman" w:hAnsi="Calibri" w:cs="Calibr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3" w15:restartNumberingAfterBreak="0">
    <w:nsid w:val="60236017"/>
    <w:multiLevelType w:val="multilevel"/>
    <w:tmpl w:val="9940BA5C"/>
    <w:lvl w:ilvl="0">
      <w:start w:val="1"/>
      <w:numFmt w:val="upperRoman"/>
      <w:lvlText w:val="%1."/>
      <w:lvlJc w:val="right"/>
      <w:pPr>
        <w:ind w:left="1068" w:hanging="360"/>
      </w:pPr>
    </w:lvl>
    <w:lvl w:ilvl="1">
      <w:start w:val="4"/>
      <w:numFmt w:val="decimalZero"/>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4" w15:restartNumberingAfterBreak="0">
    <w:nsid w:val="61763C20"/>
    <w:multiLevelType w:val="hybridMultilevel"/>
    <w:tmpl w:val="0284CE14"/>
    <w:lvl w:ilvl="0" w:tplc="040C0013">
      <w:start w:val="1"/>
      <w:numFmt w:val="upperRoman"/>
      <w:lvlText w:val="%1."/>
      <w:lvlJc w:val="right"/>
      <w:pPr>
        <w:ind w:left="1777" w:hanging="360"/>
      </w:pPr>
    </w:lvl>
    <w:lvl w:ilvl="1" w:tplc="CB5C4246">
      <w:start w:val="1"/>
      <w:numFmt w:val="lowerLetter"/>
      <w:lvlText w:val="%2."/>
      <w:lvlJc w:val="left"/>
      <w:pPr>
        <w:ind w:left="2497" w:hanging="360"/>
      </w:pPr>
      <w:rPr>
        <w:rFonts w:hint="default"/>
      </w:rPr>
    </w:lvl>
    <w:lvl w:ilvl="2" w:tplc="040C001B" w:tentative="1">
      <w:start w:val="1"/>
      <w:numFmt w:val="lowerRoman"/>
      <w:lvlText w:val="%3."/>
      <w:lvlJc w:val="right"/>
      <w:pPr>
        <w:ind w:left="3217" w:hanging="180"/>
      </w:pPr>
    </w:lvl>
    <w:lvl w:ilvl="3" w:tplc="040C000F" w:tentative="1">
      <w:start w:val="1"/>
      <w:numFmt w:val="decimal"/>
      <w:lvlText w:val="%4."/>
      <w:lvlJc w:val="left"/>
      <w:pPr>
        <w:ind w:left="3937" w:hanging="360"/>
      </w:pPr>
    </w:lvl>
    <w:lvl w:ilvl="4" w:tplc="040C0019" w:tentative="1">
      <w:start w:val="1"/>
      <w:numFmt w:val="lowerLetter"/>
      <w:lvlText w:val="%5."/>
      <w:lvlJc w:val="left"/>
      <w:pPr>
        <w:ind w:left="4657" w:hanging="360"/>
      </w:pPr>
    </w:lvl>
    <w:lvl w:ilvl="5" w:tplc="040C001B" w:tentative="1">
      <w:start w:val="1"/>
      <w:numFmt w:val="lowerRoman"/>
      <w:lvlText w:val="%6."/>
      <w:lvlJc w:val="right"/>
      <w:pPr>
        <w:ind w:left="5377" w:hanging="180"/>
      </w:pPr>
    </w:lvl>
    <w:lvl w:ilvl="6" w:tplc="040C000F" w:tentative="1">
      <w:start w:val="1"/>
      <w:numFmt w:val="decimal"/>
      <w:lvlText w:val="%7."/>
      <w:lvlJc w:val="left"/>
      <w:pPr>
        <w:ind w:left="6097" w:hanging="360"/>
      </w:pPr>
    </w:lvl>
    <w:lvl w:ilvl="7" w:tplc="040C0019" w:tentative="1">
      <w:start w:val="1"/>
      <w:numFmt w:val="lowerLetter"/>
      <w:lvlText w:val="%8."/>
      <w:lvlJc w:val="left"/>
      <w:pPr>
        <w:ind w:left="6817" w:hanging="360"/>
      </w:pPr>
    </w:lvl>
    <w:lvl w:ilvl="8" w:tplc="040C001B" w:tentative="1">
      <w:start w:val="1"/>
      <w:numFmt w:val="lowerRoman"/>
      <w:lvlText w:val="%9."/>
      <w:lvlJc w:val="right"/>
      <w:pPr>
        <w:ind w:left="7537" w:hanging="180"/>
      </w:pPr>
    </w:lvl>
  </w:abstractNum>
  <w:abstractNum w:abstractNumId="35" w15:restartNumberingAfterBreak="0">
    <w:nsid w:val="62A80313"/>
    <w:multiLevelType w:val="multilevel"/>
    <w:tmpl w:val="B32E920C"/>
    <w:lvl w:ilvl="0">
      <w:start w:val="4"/>
      <w:numFmt w:val="decimal"/>
      <w:lvlText w:val="%1"/>
      <w:lvlJc w:val="left"/>
      <w:pPr>
        <w:ind w:left="967" w:hanging="857"/>
      </w:pPr>
      <w:rPr>
        <w:rFonts w:hint="default"/>
      </w:rPr>
    </w:lvl>
    <w:lvl w:ilvl="1">
      <w:start w:val="3"/>
      <w:numFmt w:val="decimal"/>
      <w:lvlText w:val="%1.%2"/>
      <w:lvlJc w:val="left"/>
      <w:pPr>
        <w:ind w:left="967" w:hanging="857"/>
      </w:pPr>
      <w:rPr>
        <w:rFonts w:hint="default"/>
      </w:rPr>
    </w:lvl>
    <w:lvl w:ilvl="2">
      <w:start w:val="2"/>
      <w:numFmt w:val="decimal"/>
      <w:lvlText w:val="%1.%2.%3"/>
      <w:lvlJc w:val="left"/>
      <w:pPr>
        <w:ind w:left="967" w:hanging="857"/>
      </w:pPr>
      <w:rPr>
        <w:rFonts w:ascii="Arial" w:eastAsia="Times New Roman" w:hAnsi="Arial" w:cs="Arial" w:hint="default"/>
        <w:b/>
        <w:spacing w:val="-9"/>
        <w:w w:val="105"/>
        <w:sz w:val="22"/>
        <w:szCs w:val="22"/>
      </w:rPr>
    </w:lvl>
    <w:lvl w:ilvl="3">
      <w:start w:val="1"/>
      <w:numFmt w:val="lowerLetter"/>
      <w:lvlText w:val="(%4)"/>
      <w:lvlJc w:val="left"/>
      <w:pPr>
        <w:ind w:left="1320" w:hanging="360"/>
        <w:jc w:val="right"/>
      </w:pPr>
      <w:rPr>
        <w:rFonts w:ascii="Arial" w:eastAsia="Arial" w:hAnsi="Arial" w:hint="default"/>
        <w:w w:val="90"/>
        <w:sz w:val="22"/>
        <w:szCs w:val="22"/>
      </w:rPr>
    </w:lvl>
    <w:lvl w:ilvl="4">
      <w:start w:val="1"/>
      <w:numFmt w:val="bullet"/>
      <w:lvlText w:val="•"/>
      <w:lvlJc w:val="left"/>
      <w:pPr>
        <w:ind w:left="3982" w:hanging="360"/>
      </w:pPr>
      <w:rPr>
        <w:rFonts w:hint="default"/>
      </w:rPr>
    </w:lvl>
    <w:lvl w:ilvl="5">
      <w:start w:val="1"/>
      <w:numFmt w:val="bullet"/>
      <w:lvlText w:val="•"/>
      <w:lvlJc w:val="left"/>
      <w:pPr>
        <w:ind w:left="4870" w:hanging="360"/>
      </w:pPr>
      <w:rPr>
        <w:rFonts w:hint="default"/>
      </w:rPr>
    </w:lvl>
    <w:lvl w:ilvl="6">
      <w:start w:val="1"/>
      <w:numFmt w:val="bullet"/>
      <w:lvlText w:val="•"/>
      <w:lvlJc w:val="left"/>
      <w:pPr>
        <w:ind w:left="5758" w:hanging="360"/>
      </w:pPr>
      <w:rPr>
        <w:rFonts w:hint="default"/>
      </w:rPr>
    </w:lvl>
    <w:lvl w:ilvl="7">
      <w:start w:val="1"/>
      <w:numFmt w:val="bullet"/>
      <w:lvlText w:val="•"/>
      <w:lvlJc w:val="left"/>
      <w:pPr>
        <w:ind w:left="6645" w:hanging="360"/>
      </w:pPr>
      <w:rPr>
        <w:rFonts w:hint="default"/>
      </w:rPr>
    </w:lvl>
    <w:lvl w:ilvl="8">
      <w:start w:val="1"/>
      <w:numFmt w:val="bullet"/>
      <w:lvlText w:val="•"/>
      <w:lvlJc w:val="left"/>
      <w:pPr>
        <w:ind w:left="7533" w:hanging="360"/>
      </w:pPr>
      <w:rPr>
        <w:rFonts w:hint="default"/>
      </w:rPr>
    </w:lvl>
  </w:abstractNum>
  <w:abstractNum w:abstractNumId="36" w15:restartNumberingAfterBreak="0">
    <w:nsid w:val="64FB504C"/>
    <w:multiLevelType w:val="hybridMultilevel"/>
    <w:tmpl w:val="9C00210C"/>
    <w:lvl w:ilvl="0" w:tplc="DF4E442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70F6868"/>
    <w:multiLevelType w:val="hybridMultilevel"/>
    <w:tmpl w:val="935821CC"/>
    <w:lvl w:ilvl="0" w:tplc="A274ED7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9E1305E"/>
    <w:multiLevelType w:val="hybridMultilevel"/>
    <w:tmpl w:val="2BD275AA"/>
    <w:lvl w:ilvl="0" w:tplc="DA3A6404">
      <w:start w:val="1"/>
      <w:numFmt w:val="bullet"/>
      <w:lvlText w:val="-"/>
      <w:lvlJc w:val="left"/>
      <w:pPr>
        <w:ind w:left="1080" w:hanging="360"/>
      </w:pPr>
      <w:rPr>
        <w:rFonts w:ascii="Calibri" w:eastAsiaTheme="minorHAns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15:restartNumberingAfterBreak="0">
    <w:nsid w:val="6B834450"/>
    <w:multiLevelType w:val="hybridMultilevel"/>
    <w:tmpl w:val="A70870AC"/>
    <w:lvl w:ilvl="0" w:tplc="0E66C7F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CF36BC0"/>
    <w:multiLevelType w:val="hybridMultilevel"/>
    <w:tmpl w:val="BDA846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6D761598"/>
    <w:multiLevelType w:val="multilevel"/>
    <w:tmpl w:val="4070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B7481B"/>
    <w:multiLevelType w:val="multilevel"/>
    <w:tmpl w:val="D35E75CA"/>
    <w:styleLink w:val="Listeactuelle1"/>
    <w:lvl w:ilvl="0">
      <w:start w:val="1"/>
      <w:numFmt w:val="upperRoman"/>
      <w:lvlText w:val="%1."/>
      <w:lvlJc w:val="right"/>
      <w:pPr>
        <w:ind w:left="1777" w:hanging="360"/>
      </w:pPr>
    </w:lvl>
    <w:lvl w:ilvl="1">
      <w:start w:val="1"/>
      <w:numFmt w:val="lowerLetter"/>
      <w:lvlText w:val="%2."/>
      <w:lvlJc w:val="left"/>
      <w:pPr>
        <w:ind w:left="2497" w:hanging="360"/>
      </w:pPr>
      <w:rPr>
        <w:rFonts w:hint="default"/>
      </w:rPr>
    </w:lvl>
    <w:lvl w:ilvl="2">
      <w:start w:val="1"/>
      <w:numFmt w:val="lowerRoman"/>
      <w:lvlText w:val="%3."/>
      <w:lvlJc w:val="right"/>
      <w:pPr>
        <w:ind w:left="3217" w:hanging="180"/>
      </w:pPr>
    </w:lvl>
    <w:lvl w:ilvl="3">
      <w:start w:val="1"/>
      <w:numFmt w:val="decimal"/>
      <w:lvlText w:val="%4."/>
      <w:lvlJc w:val="left"/>
      <w:pPr>
        <w:ind w:left="3937" w:hanging="360"/>
      </w:pPr>
    </w:lvl>
    <w:lvl w:ilvl="4">
      <w:start w:val="1"/>
      <w:numFmt w:val="lowerLetter"/>
      <w:lvlText w:val="%5."/>
      <w:lvlJc w:val="left"/>
      <w:pPr>
        <w:ind w:left="4657" w:hanging="360"/>
      </w:pPr>
    </w:lvl>
    <w:lvl w:ilvl="5">
      <w:start w:val="1"/>
      <w:numFmt w:val="lowerRoman"/>
      <w:lvlText w:val="%6."/>
      <w:lvlJc w:val="right"/>
      <w:pPr>
        <w:ind w:left="5377" w:hanging="180"/>
      </w:pPr>
    </w:lvl>
    <w:lvl w:ilvl="6">
      <w:start w:val="1"/>
      <w:numFmt w:val="decimal"/>
      <w:lvlText w:val="%7."/>
      <w:lvlJc w:val="left"/>
      <w:pPr>
        <w:ind w:left="6097" w:hanging="360"/>
      </w:pPr>
    </w:lvl>
    <w:lvl w:ilvl="7">
      <w:start w:val="1"/>
      <w:numFmt w:val="lowerLetter"/>
      <w:lvlText w:val="%8."/>
      <w:lvlJc w:val="left"/>
      <w:pPr>
        <w:ind w:left="6817" w:hanging="360"/>
      </w:pPr>
    </w:lvl>
    <w:lvl w:ilvl="8">
      <w:start w:val="1"/>
      <w:numFmt w:val="lowerRoman"/>
      <w:lvlText w:val="%9."/>
      <w:lvlJc w:val="right"/>
      <w:pPr>
        <w:ind w:left="7537" w:hanging="180"/>
      </w:pPr>
    </w:lvl>
  </w:abstractNum>
  <w:abstractNum w:abstractNumId="43" w15:restartNumberingAfterBreak="0">
    <w:nsid w:val="70581DEF"/>
    <w:multiLevelType w:val="hybridMultilevel"/>
    <w:tmpl w:val="1CE01B22"/>
    <w:lvl w:ilvl="0" w:tplc="3508FAF4">
      <w:numFmt w:val="bullet"/>
      <w:lvlText w:val="☐"/>
      <w:lvlJc w:val="left"/>
      <w:pPr>
        <w:ind w:left="348" w:hanging="221"/>
      </w:pPr>
      <w:rPr>
        <w:rFonts w:ascii="MS Gothic" w:eastAsia="MS Gothic" w:hAnsi="MS Gothic" w:cs="MS Gothic" w:hint="default"/>
        <w:b w:val="0"/>
        <w:bCs w:val="0"/>
        <w:i w:val="0"/>
        <w:iCs w:val="0"/>
        <w:w w:val="100"/>
        <w:sz w:val="18"/>
        <w:szCs w:val="18"/>
        <w:lang w:val="fr-FR" w:eastAsia="en-US" w:bidi="ar-SA"/>
      </w:rPr>
    </w:lvl>
    <w:lvl w:ilvl="1" w:tplc="E488F166">
      <w:numFmt w:val="bullet"/>
      <w:lvlText w:val="•"/>
      <w:lvlJc w:val="left"/>
      <w:pPr>
        <w:ind w:left="1436" w:hanging="221"/>
      </w:pPr>
      <w:rPr>
        <w:rFonts w:hint="default"/>
        <w:lang w:val="fr-FR" w:eastAsia="en-US" w:bidi="ar-SA"/>
      </w:rPr>
    </w:lvl>
    <w:lvl w:ilvl="2" w:tplc="90268764">
      <w:numFmt w:val="bullet"/>
      <w:lvlText w:val="•"/>
      <w:lvlJc w:val="left"/>
      <w:pPr>
        <w:ind w:left="2533" w:hanging="221"/>
      </w:pPr>
      <w:rPr>
        <w:rFonts w:hint="default"/>
        <w:lang w:val="fr-FR" w:eastAsia="en-US" w:bidi="ar-SA"/>
      </w:rPr>
    </w:lvl>
    <w:lvl w:ilvl="3" w:tplc="9470063C">
      <w:numFmt w:val="bullet"/>
      <w:lvlText w:val="•"/>
      <w:lvlJc w:val="left"/>
      <w:pPr>
        <w:ind w:left="3629" w:hanging="221"/>
      </w:pPr>
      <w:rPr>
        <w:rFonts w:hint="default"/>
        <w:lang w:val="fr-FR" w:eastAsia="en-US" w:bidi="ar-SA"/>
      </w:rPr>
    </w:lvl>
    <w:lvl w:ilvl="4" w:tplc="A0183766">
      <w:numFmt w:val="bullet"/>
      <w:lvlText w:val="•"/>
      <w:lvlJc w:val="left"/>
      <w:pPr>
        <w:ind w:left="4726" w:hanging="221"/>
      </w:pPr>
      <w:rPr>
        <w:rFonts w:hint="default"/>
        <w:lang w:val="fr-FR" w:eastAsia="en-US" w:bidi="ar-SA"/>
      </w:rPr>
    </w:lvl>
    <w:lvl w:ilvl="5" w:tplc="D6B443BE">
      <w:numFmt w:val="bullet"/>
      <w:lvlText w:val="•"/>
      <w:lvlJc w:val="left"/>
      <w:pPr>
        <w:ind w:left="5823" w:hanging="221"/>
      </w:pPr>
      <w:rPr>
        <w:rFonts w:hint="default"/>
        <w:lang w:val="fr-FR" w:eastAsia="en-US" w:bidi="ar-SA"/>
      </w:rPr>
    </w:lvl>
    <w:lvl w:ilvl="6" w:tplc="421E0738">
      <w:numFmt w:val="bullet"/>
      <w:lvlText w:val="•"/>
      <w:lvlJc w:val="left"/>
      <w:pPr>
        <w:ind w:left="6919" w:hanging="221"/>
      </w:pPr>
      <w:rPr>
        <w:rFonts w:hint="default"/>
        <w:lang w:val="fr-FR" w:eastAsia="en-US" w:bidi="ar-SA"/>
      </w:rPr>
    </w:lvl>
    <w:lvl w:ilvl="7" w:tplc="5BEE41E2">
      <w:numFmt w:val="bullet"/>
      <w:lvlText w:val="•"/>
      <w:lvlJc w:val="left"/>
      <w:pPr>
        <w:ind w:left="8016" w:hanging="221"/>
      </w:pPr>
      <w:rPr>
        <w:rFonts w:hint="default"/>
        <w:lang w:val="fr-FR" w:eastAsia="en-US" w:bidi="ar-SA"/>
      </w:rPr>
    </w:lvl>
    <w:lvl w:ilvl="8" w:tplc="D1648EBE">
      <w:numFmt w:val="bullet"/>
      <w:lvlText w:val="•"/>
      <w:lvlJc w:val="left"/>
      <w:pPr>
        <w:ind w:left="9113" w:hanging="221"/>
      </w:pPr>
      <w:rPr>
        <w:rFonts w:hint="default"/>
        <w:lang w:val="fr-FR" w:eastAsia="en-US" w:bidi="ar-SA"/>
      </w:rPr>
    </w:lvl>
  </w:abstractNum>
  <w:abstractNum w:abstractNumId="44" w15:restartNumberingAfterBreak="0">
    <w:nsid w:val="76CF4217"/>
    <w:multiLevelType w:val="hybridMultilevel"/>
    <w:tmpl w:val="1F88097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DB00B83"/>
    <w:multiLevelType w:val="hybridMultilevel"/>
    <w:tmpl w:val="D35E75CA"/>
    <w:lvl w:ilvl="0" w:tplc="040C0013">
      <w:start w:val="1"/>
      <w:numFmt w:val="upperRoman"/>
      <w:lvlText w:val="%1."/>
      <w:lvlJc w:val="right"/>
      <w:pPr>
        <w:ind w:left="1777" w:hanging="360"/>
      </w:pPr>
    </w:lvl>
    <w:lvl w:ilvl="1" w:tplc="CB5C4246">
      <w:start w:val="1"/>
      <w:numFmt w:val="lowerLetter"/>
      <w:lvlText w:val="%2."/>
      <w:lvlJc w:val="left"/>
      <w:pPr>
        <w:ind w:left="2497" w:hanging="360"/>
      </w:pPr>
      <w:rPr>
        <w:rFonts w:hint="default"/>
      </w:rPr>
    </w:lvl>
    <w:lvl w:ilvl="2" w:tplc="040C001B" w:tentative="1">
      <w:start w:val="1"/>
      <w:numFmt w:val="lowerRoman"/>
      <w:lvlText w:val="%3."/>
      <w:lvlJc w:val="right"/>
      <w:pPr>
        <w:ind w:left="3217" w:hanging="180"/>
      </w:pPr>
    </w:lvl>
    <w:lvl w:ilvl="3" w:tplc="040C000F" w:tentative="1">
      <w:start w:val="1"/>
      <w:numFmt w:val="decimal"/>
      <w:lvlText w:val="%4."/>
      <w:lvlJc w:val="left"/>
      <w:pPr>
        <w:ind w:left="3937" w:hanging="360"/>
      </w:pPr>
    </w:lvl>
    <w:lvl w:ilvl="4" w:tplc="040C0019" w:tentative="1">
      <w:start w:val="1"/>
      <w:numFmt w:val="lowerLetter"/>
      <w:lvlText w:val="%5."/>
      <w:lvlJc w:val="left"/>
      <w:pPr>
        <w:ind w:left="4657" w:hanging="360"/>
      </w:pPr>
    </w:lvl>
    <w:lvl w:ilvl="5" w:tplc="040C001B" w:tentative="1">
      <w:start w:val="1"/>
      <w:numFmt w:val="lowerRoman"/>
      <w:lvlText w:val="%6."/>
      <w:lvlJc w:val="right"/>
      <w:pPr>
        <w:ind w:left="5377" w:hanging="180"/>
      </w:pPr>
    </w:lvl>
    <w:lvl w:ilvl="6" w:tplc="040C000F" w:tentative="1">
      <w:start w:val="1"/>
      <w:numFmt w:val="decimal"/>
      <w:lvlText w:val="%7."/>
      <w:lvlJc w:val="left"/>
      <w:pPr>
        <w:ind w:left="6097" w:hanging="360"/>
      </w:pPr>
    </w:lvl>
    <w:lvl w:ilvl="7" w:tplc="040C0019" w:tentative="1">
      <w:start w:val="1"/>
      <w:numFmt w:val="lowerLetter"/>
      <w:lvlText w:val="%8."/>
      <w:lvlJc w:val="left"/>
      <w:pPr>
        <w:ind w:left="6817" w:hanging="360"/>
      </w:pPr>
    </w:lvl>
    <w:lvl w:ilvl="8" w:tplc="040C001B" w:tentative="1">
      <w:start w:val="1"/>
      <w:numFmt w:val="lowerRoman"/>
      <w:lvlText w:val="%9."/>
      <w:lvlJc w:val="right"/>
      <w:pPr>
        <w:ind w:left="7537" w:hanging="180"/>
      </w:pPr>
    </w:lvl>
  </w:abstractNum>
  <w:abstractNum w:abstractNumId="46" w15:restartNumberingAfterBreak="0">
    <w:nsid w:val="7E5E2037"/>
    <w:multiLevelType w:val="hybridMultilevel"/>
    <w:tmpl w:val="4EB62E8A"/>
    <w:lvl w:ilvl="0" w:tplc="55E0D4A4">
      <w:start w:val="2027"/>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5956691">
    <w:abstractNumId w:val="31"/>
  </w:num>
  <w:num w:numId="2" w16cid:durableId="1428578961">
    <w:abstractNumId w:val="17"/>
  </w:num>
  <w:num w:numId="3" w16cid:durableId="497383919">
    <w:abstractNumId w:val="39"/>
  </w:num>
  <w:num w:numId="4" w16cid:durableId="1081681643">
    <w:abstractNumId w:val="36"/>
  </w:num>
  <w:num w:numId="5" w16cid:durableId="628242959">
    <w:abstractNumId w:val="23"/>
  </w:num>
  <w:num w:numId="6" w16cid:durableId="574511732">
    <w:abstractNumId w:val="32"/>
  </w:num>
  <w:num w:numId="7" w16cid:durableId="1662347791">
    <w:abstractNumId w:val="30"/>
  </w:num>
  <w:num w:numId="8" w16cid:durableId="1751196236">
    <w:abstractNumId w:val="13"/>
  </w:num>
  <w:num w:numId="9" w16cid:durableId="237985132">
    <w:abstractNumId w:val="33"/>
  </w:num>
  <w:num w:numId="10" w16cid:durableId="1589164">
    <w:abstractNumId w:val="34"/>
  </w:num>
  <w:num w:numId="11" w16cid:durableId="934825070">
    <w:abstractNumId w:val="44"/>
  </w:num>
  <w:num w:numId="12" w16cid:durableId="1171212202">
    <w:abstractNumId w:val="37"/>
  </w:num>
  <w:num w:numId="13" w16cid:durableId="968054983">
    <w:abstractNumId w:val="7"/>
  </w:num>
  <w:num w:numId="14" w16cid:durableId="931203076">
    <w:abstractNumId w:val="8"/>
  </w:num>
  <w:num w:numId="15" w16cid:durableId="698360308">
    <w:abstractNumId w:val="26"/>
  </w:num>
  <w:num w:numId="16" w16cid:durableId="118380191">
    <w:abstractNumId w:val="20"/>
  </w:num>
  <w:num w:numId="17" w16cid:durableId="1189373908">
    <w:abstractNumId w:val="27"/>
  </w:num>
  <w:num w:numId="18" w16cid:durableId="1256671504">
    <w:abstractNumId w:val="4"/>
  </w:num>
  <w:num w:numId="19" w16cid:durableId="834682967">
    <w:abstractNumId w:val="21"/>
  </w:num>
  <w:num w:numId="20" w16cid:durableId="2030372812">
    <w:abstractNumId w:val="40"/>
  </w:num>
  <w:num w:numId="21" w16cid:durableId="1006639518">
    <w:abstractNumId w:val="9"/>
  </w:num>
  <w:num w:numId="22" w16cid:durableId="269776041">
    <w:abstractNumId w:val="15"/>
  </w:num>
  <w:num w:numId="23" w16cid:durableId="553782174">
    <w:abstractNumId w:val="11"/>
  </w:num>
  <w:num w:numId="24" w16cid:durableId="620960907">
    <w:abstractNumId w:val="3"/>
  </w:num>
  <w:num w:numId="25" w16cid:durableId="1288126169">
    <w:abstractNumId w:val="12"/>
  </w:num>
  <w:num w:numId="26" w16cid:durableId="951788036">
    <w:abstractNumId w:val="43"/>
  </w:num>
  <w:num w:numId="27" w16cid:durableId="1421370233">
    <w:abstractNumId w:val="29"/>
  </w:num>
  <w:num w:numId="28" w16cid:durableId="1129476241">
    <w:abstractNumId w:val="0"/>
  </w:num>
  <w:num w:numId="29" w16cid:durableId="2075395339">
    <w:abstractNumId w:val="1"/>
  </w:num>
  <w:num w:numId="30" w16cid:durableId="475610149">
    <w:abstractNumId w:val="25"/>
  </w:num>
  <w:num w:numId="31" w16cid:durableId="1039626596">
    <w:abstractNumId w:val="14"/>
  </w:num>
  <w:num w:numId="32" w16cid:durableId="1619681567">
    <w:abstractNumId w:val="16"/>
  </w:num>
  <w:num w:numId="33" w16cid:durableId="192885629">
    <w:abstractNumId w:val="5"/>
  </w:num>
  <w:num w:numId="34" w16cid:durableId="1130587575">
    <w:abstractNumId w:val="28"/>
  </w:num>
  <w:num w:numId="35" w16cid:durableId="1252617618">
    <w:abstractNumId w:val="24"/>
  </w:num>
  <w:num w:numId="36" w16cid:durableId="685055161">
    <w:abstractNumId w:val="2"/>
  </w:num>
  <w:num w:numId="37" w16cid:durableId="150606236">
    <w:abstractNumId w:val="45"/>
  </w:num>
  <w:num w:numId="38" w16cid:durableId="605236740">
    <w:abstractNumId w:val="42"/>
  </w:num>
  <w:num w:numId="39" w16cid:durableId="731538164">
    <w:abstractNumId w:val="19"/>
  </w:num>
  <w:num w:numId="40" w16cid:durableId="828712662">
    <w:abstractNumId w:val="6"/>
  </w:num>
  <w:num w:numId="41" w16cid:durableId="1054044524">
    <w:abstractNumId w:val="38"/>
  </w:num>
  <w:num w:numId="42" w16cid:durableId="333185178">
    <w:abstractNumId w:val="35"/>
  </w:num>
  <w:num w:numId="43" w16cid:durableId="1493327937">
    <w:abstractNumId w:val="22"/>
  </w:num>
  <w:num w:numId="44" w16cid:durableId="665406160">
    <w:abstractNumId w:val="18"/>
  </w:num>
  <w:num w:numId="45" w16cid:durableId="464810698">
    <w:abstractNumId w:val="10"/>
  </w:num>
  <w:num w:numId="46" w16cid:durableId="1085228852">
    <w:abstractNumId w:val="41"/>
  </w:num>
  <w:num w:numId="47" w16cid:durableId="890312061">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EA5"/>
    <w:rsid w:val="00006FAA"/>
    <w:rsid w:val="00007EB6"/>
    <w:rsid w:val="00011BFA"/>
    <w:rsid w:val="00012B95"/>
    <w:rsid w:val="00012E98"/>
    <w:rsid w:val="00014430"/>
    <w:rsid w:val="00015020"/>
    <w:rsid w:val="000174DB"/>
    <w:rsid w:val="00022378"/>
    <w:rsid w:val="000265C7"/>
    <w:rsid w:val="00035A4B"/>
    <w:rsid w:val="00036944"/>
    <w:rsid w:val="000372EF"/>
    <w:rsid w:val="00037F87"/>
    <w:rsid w:val="00042675"/>
    <w:rsid w:val="00045691"/>
    <w:rsid w:val="000504A8"/>
    <w:rsid w:val="00053929"/>
    <w:rsid w:val="00057FA7"/>
    <w:rsid w:val="00062750"/>
    <w:rsid w:val="00063989"/>
    <w:rsid w:val="000652F7"/>
    <w:rsid w:val="0006612F"/>
    <w:rsid w:val="000704DB"/>
    <w:rsid w:val="0007312A"/>
    <w:rsid w:val="0007379A"/>
    <w:rsid w:val="00080195"/>
    <w:rsid w:val="000804AB"/>
    <w:rsid w:val="000821C0"/>
    <w:rsid w:val="000902B4"/>
    <w:rsid w:val="000908FB"/>
    <w:rsid w:val="00091816"/>
    <w:rsid w:val="0009212A"/>
    <w:rsid w:val="00093929"/>
    <w:rsid w:val="000940A0"/>
    <w:rsid w:val="0009739A"/>
    <w:rsid w:val="00097A94"/>
    <w:rsid w:val="000B084C"/>
    <w:rsid w:val="000C00C4"/>
    <w:rsid w:val="000C23FC"/>
    <w:rsid w:val="000C42D7"/>
    <w:rsid w:val="000C748D"/>
    <w:rsid w:val="000E1F11"/>
    <w:rsid w:val="000E22D5"/>
    <w:rsid w:val="000E56B0"/>
    <w:rsid w:val="000F0042"/>
    <w:rsid w:val="000F1735"/>
    <w:rsid w:val="000F270B"/>
    <w:rsid w:val="000F4A77"/>
    <w:rsid w:val="000F58E5"/>
    <w:rsid w:val="000F6A0B"/>
    <w:rsid w:val="001014D7"/>
    <w:rsid w:val="00104755"/>
    <w:rsid w:val="0011032B"/>
    <w:rsid w:val="0011344F"/>
    <w:rsid w:val="00113762"/>
    <w:rsid w:val="00114B9A"/>
    <w:rsid w:val="0012352B"/>
    <w:rsid w:val="0012477D"/>
    <w:rsid w:val="001251C7"/>
    <w:rsid w:val="00125967"/>
    <w:rsid w:val="00127920"/>
    <w:rsid w:val="001332DE"/>
    <w:rsid w:val="00133D1E"/>
    <w:rsid w:val="001342E1"/>
    <w:rsid w:val="00136536"/>
    <w:rsid w:val="001408CA"/>
    <w:rsid w:val="001421BD"/>
    <w:rsid w:val="00145595"/>
    <w:rsid w:val="00154B3D"/>
    <w:rsid w:val="001559B8"/>
    <w:rsid w:val="001572CB"/>
    <w:rsid w:val="0015742A"/>
    <w:rsid w:val="00161578"/>
    <w:rsid w:val="00170205"/>
    <w:rsid w:val="00170E9A"/>
    <w:rsid w:val="001757EA"/>
    <w:rsid w:val="00176EE2"/>
    <w:rsid w:val="001827ED"/>
    <w:rsid w:val="00183273"/>
    <w:rsid w:val="00183B7F"/>
    <w:rsid w:val="00187449"/>
    <w:rsid w:val="00190D37"/>
    <w:rsid w:val="001910B1"/>
    <w:rsid w:val="001915A9"/>
    <w:rsid w:val="00195A87"/>
    <w:rsid w:val="001A1EC7"/>
    <w:rsid w:val="001A2A0F"/>
    <w:rsid w:val="001A3CCA"/>
    <w:rsid w:val="001A4673"/>
    <w:rsid w:val="001B1BBD"/>
    <w:rsid w:val="001B2826"/>
    <w:rsid w:val="001B4117"/>
    <w:rsid w:val="001B5CFD"/>
    <w:rsid w:val="001C59E6"/>
    <w:rsid w:val="001C7212"/>
    <w:rsid w:val="001D3608"/>
    <w:rsid w:val="001D3F72"/>
    <w:rsid w:val="001D7A33"/>
    <w:rsid w:val="001E0D36"/>
    <w:rsid w:val="001E19B9"/>
    <w:rsid w:val="001F4F99"/>
    <w:rsid w:val="00200F9E"/>
    <w:rsid w:val="00213BAD"/>
    <w:rsid w:val="00214CEB"/>
    <w:rsid w:val="0021543E"/>
    <w:rsid w:val="002158B2"/>
    <w:rsid w:val="00223D84"/>
    <w:rsid w:val="00225774"/>
    <w:rsid w:val="00230396"/>
    <w:rsid w:val="002304E4"/>
    <w:rsid w:val="0023253F"/>
    <w:rsid w:val="00233CE2"/>
    <w:rsid w:val="00234712"/>
    <w:rsid w:val="002401B9"/>
    <w:rsid w:val="00241649"/>
    <w:rsid w:val="00242CC9"/>
    <w:rsid w:val="002447D8"/>
    <w:rsid w:val="002518EC"/>
    <w:rsid w:val="00251C29"/>
    <w:rsid w:val="002523FC"/>
    <w:rsid w:val="00255EC5"/>
    <w:rsid w:val="002562DB"/>
    <w:rsid w:val="0025774F"/>
    <w:rsid w:val="00257E24"/>
    <w:rsid w:val="00260620"/>
    <w:rsid w:val="002613D5"/>
    <w:rsid w:val="002621EC"/>
    <w:rsid w:val="0026634B"/>
    <w:rsid w:val="00266388"/>
    <w:rsid w:val="00266D96"/>
    <w:rsid w:val="002705E0"/>
    <w:rsid w:val="00272499"/>
    <w:rsid w:val="0027275B"/>
    <w:rsid w:val="00274B38"/>
    <w:rsid w:val="00275054"/>
    <w:rsid w:val="00277F1E"/>
    <w:rsid w:val="00280C26"/>
    <w:rsid w:val="00282B87"/>
    <w:rsid w:val="00284E67"/>
    <w:rsid w:val="002863F9"/>
    <w:rsid w:val="0029329A"/>
    <w:rsid w:val="002936A0"/>
    <w:rsid w:val="00294043"/>
    <w:rsid w:val="00294F46"/>
    <w:rsid w:val="00295FFA"/>
    <w:rsid w:val="002A307A"/>
    <w:rsid w:val="002A5182"/>
    <w:rsid w:val="002A766E"/>
    <w:rsid w:val="002B212D"/>
    <w:rsid w:val="002B3981"/>
    <w:rsid w:val="002C02AF"/>
    <w:rsid w:val="002C089F"/>
    <w:rsid w:val="002C30D1"/>
    <w:rsid w:val="002C4A5D"/>
    <w:rsid w:val="002C5E43"/>
    <w:rsid w:val="002C718E"/>
    <w:rsid w:val="002D2918"/>
    <w:rsid w:val="002D489E"/>
    <w:rsid w:val="002E1100"/>
    <w:rsid w:val="002E143D"/>
    <w:rsid w:val="002E66DA"/>
    <w:rsid w:val="002E71F4"/>
    <w:rsid w:val="002E7B59"/>
    <w:rsid w:val="002F4149"/>
    <w:rsid w:val="002F41A1"/>
    <w:rsid w:val="002F41A2"/>
    <w:rsid w:val="00306F88"/>
    <w:rsid w:val="00311409"/>
    <w:rsid w:val="00316706"/>
    <w:rsid w:val="0032002D"/>
    <w:rsid w:val="00324340"/>
    <w:rsid w:val="00325897"/>
    <w:rsid w:val="00325B9B"/>
    <w:rsid w:val="00333050"/>
    <w:rsid w:val="00341F2C"/>
    <w:rsid w:val="00343E4A"/>
    <w:rsid w:val="00344CE3"/>
    <w:rsid w:val="00345B30"/>
    <w:rsid w:val="00346C9D"/>
    <w:rsid w:val="00346CE3"/>
    <w:rsid w:val="00351564"/>
    <w:rsid w:val="003529E0"/>
    <w:rsid w:val="003531B1"/>
    <w:rsid w:val="00355B12"/>
    <w:rsid w:val="003579D0"/>
    <w:rsid w:val="003650A7"/>
    <w:rsid w:val="00374769"/>
    <w:rsid w:val="00374F16"/>
    <w:rsid w:val="00376834"/>
    <w:rsid w:val="00386626"/>
    <w:rsid w:val="00387FDB"/>
    <w:rsid w:val="00387FE7"/>
    <w:rsid w:val="00390E26"/>
    <w:rsid w:val="00397C6A"/>
    <w:rsid w:val="003A1741"/>
    <w:rsid w:val="003A304D"/>
    <w:rsid w:val="003A4208"/>
    <w:rsid w:val="003B08C7"/>
    <w:rsid w:val="003B198D"/>
    <w:rsid w:val="003B3BF4"/>
    <w:rsid w:val="003B46B7"/>
    <w:rsid w:val="003B59F4"/>
    <w:rsid w:val="003B6C60"/>
    <w:rsid w:val="003C31F1"/>
    <w:rsid w:val="003C3B4A"/>
    <w:rsid w:val="003D0F71"/>
    <w:rsid w:val="003D130D"/>
    <w:rsid w:val="003D1F74"/>
    <w:rsid w:val="003D3790"/>
    <w:rsid w:val="003D711F"/>
    <w:rsid w:val="003E578E"/>
    <w:rsid w:val="003E6234"/>
    <w:rsid w:val="003E6A62"/>
    <w:rsid w:val="003E7B41"/>
    <w:rsid w:val="003F19F2"/>
    <w:rsid w:val="003F24BB"/>
    <w:rsid w:val="003F4E10"/>
    <w:rsid w:val="003F5673"/>
    <w:rsid w:val="00401E41"/>
    <w:rsid w:val="00406D3D"/>
    <w:rsid w:val="00407B43"/>
    <w:rsid w:val="00407CFA"/>
    <w:rsid w:val="00410731"/>
    <w:rsid w:val="0041466F"/>
    <w:rsid w:val="004150B6"/>
    <w:rsid w:val="00421941"/>
    <w:rsid w:val="004309BB"/>
    <w:rsid w:val="00431687"/>
    <w:rsid w:val="00433262"/>
    <w:rsid w:val="00436C63"/>
    <w:rsid w:val="00437CBB"/>
    <w:rsid w:val="0044260B"/>
    <w:rsid w:val="00446D46"/>
    <w:rsid w:val="00451760"/>
    <w:rsid w:val="00452260"/>
    <w:rsid w:val="004532A8"/>
    <w:rsid w:val="00453D5E"/>
    <w:rsid w:val="004548B5"/>
    <w:rsid w:val="00456B0F"/>
    <w:rsid w:val="00460013"/>
    <w:rsid w:val="00460C2C"/>
    <w:rsid w:val="00462460"/>
    <w:rsid w:val="00465316"/>
    <w:rsid w:val="00471019"/>
    <w:rsid w:val="00473E55"/>
    <w:rsid w:val="004754C3"/>
    <w:rsid w:val="00481947"/>
    <w:rsid w:val="0048514F"/>
    <w:rsid w:val="00494045"/>
    <w:rsid w:val="004A4BFA"/>
    <w:rsid w:val="004A76C2"/>
    <w:rsid w:val="004A7C62"/>
    <w:rsid w:val="004B73DE"/>
    <w:rsid w:val="004C1A5D"/>
    <w:rsid w:val="004C3B0A"/>
    <w:rsid w:val="004C771C"/>
    <w:rsid w:val="004D124C"/>
    <w:rsid w:val="004E009B"/>
    <w:rsid w:val="004E052F"/>
    <w:rsid w:val="004E280B"/>
    <w:rsid w:val="004E6E43"/>
    <w:rsid w:val="004E7BE0"/>
    <w:rsid w:val="004F0340"/>
    <w:rsid w:val="004F2CFE"/>
    <w:rsid w:val="004F2ED5"/>
    <w:rsid w:val="004F3DB2"/>
    <w:rsid w:val="004F54D2"/>
    <w:rsid w:val="004F6203"/>
    <w:rsid w:val="00501485"/>
    <w:rsid w:val="00506126"/>
    <w:rsid w:val="00512889"/>
    <w:rsid w:val="00513350"/>
    <w:rsid w:val="00515647"/>
    <w:rsid w:val="00515CCB"/>
    <w:rsid w:val="0052342E"/>
    <w:rsid w:val="005279C8"/>
    <w:rsid w:val="00543DAE"/>
    <w:rsid w:val="00544A47"/>
    <w:rsid w:val="00550992"/>
    <w:rsid w:val="00552C4F"/>
    <w:rsid w:val="00553559"/>
    <w:rsid w:val="00554AD5"/>
    <w:rsid w:val="005569B3"/>
    <w:rsid w:val="00557EC6"/>
    <w:rsid w:val="0056602E"/>
    <w:rsid w:val="00570AB0"/>
    <w:rsid w:val="005744A9"/>
    <w:rsid w:val="005776C6"/>
    <w:rsid w:val="005838C5"/>
    <w:rsid w:val="00583C54"/>
    <w:rsid w:val="0058570B"/>
    <w:rsid w:val="00586BA1"/>
    <w:rsid w:val="0058716E"/>
    <w:rsid w:val="00587214"/>
    <w:rsid w:val="00592020"/>
    <w:rsid w:val="00597FA9"/>
    <w:rsid w:val="005A061D"/>
    <w:rsid w:val="005A100F"/>
    <w:rsid w:val="005A12ED"/>
    <w:rsid w:val="005A3E98"/>
    <w:rsid w:val="005A4A1B"/>
    <w:rsid w:val="005A5A27"/>
    <w:rsid w:val="005A63BF"/>
    <w:rsid w:val="005A6B56"/>
    <w:rsid w:val="005A6CA9"/>
    <w:rsid w:val="005B169E"/>
    <w:rsid w:val="005B278B"/>
    <w:rsid w:val="005B590D"/>
    <w:rsid w:val="005B6133"/>
    <w:rsid w:val="005C02A5"/>
    <w:rsid w:val="005C6E3E"/>
    <w:rsid w:val="005D15B0"/>
    <w:rsid w:val="005D22FC"/>
    <w:rsid w:val="005D797B"/>
    <w:rsid w:val="005E1E25"/>
    <w:rsid w:val="005F03F5"/>
    <w:rsid w:val="006046A8"/>
    <w:rsid w:val="0060725D"/>
    <w:rsid w:val="0061017D"/>
    <w:rsid w:val="00624516"/>
    <w:rsid w:val="0062484B"/>
    <w:rsid w:val="00625D93"/>
    <w:rsid w:val="00627052"/>
    <w:rsid w:val="006274CD"/>
    <w:rsid w:val="0062776A"/>
    <w:rsid w:val="0063320B"/>
    <w:rsid w:val="006337AD"/>
    <w:rsid w:val="00643696"/>
    <w:rsid w:val="00646A0F"/>
    <w:rsid w:val="006471DE"/>
    <w:rsid w:val="00654143"/>
    <w:rsid w:val="00655353"/>
    <w:rsid w:val="00661971"/>
    <w:rsid w:val="0066787F"/>
    <w:rsid w:val="006701FB"/>
    <w:rsid w:val="00671389"/>
    <w:rsid w:val="00673DEE"/>
    <w:rsid w:val="00677179"/>
    <w:rsid w:val="00680664"/>
    <w:rsid w:val="006813ED"/>
    <w:rsid w:val="00682FBB"/>
    <w:rsid w:val="006927BF"/>
    <w:rsid w:val="00692C75"/>
    <w:rsid w:val="006972FF"/>
    <w:rsid w:val="006A1371"/>
    <w:rsid w:val="006A1ED2"/>
    <w:rsid w:val="006A5876"/>
    <w:rsid w:val="006A5B24"/>
    <w:rsid w:val="006A6A27"/>
    <w:rsid w:val="006A6D38"/>
    <w:rsid w:val="006A767C"/>
    <w:rsid w:val="006B0E15"/>
    <w:rsid w:val="006B1D08"/>
    <w:rsid w:val="006B2F30"/>
    <w:rsid w:val="006B362A"/>
    <w:rsid w:val="006B4B46"/>
    <w:rsid w:val="006B4EEF"/>
    <w:rsid w:val="006B641E"/>
    <w:rsid w:val="006B7B89"/>
    <w:rsid w:val="006C0A8B"/>
    <w:rsid w:val="006C3D74"/>
    <w:rsid w:val="006C44F1"/>
    <w:rsid w:val="006C584F"/>
    <w:rsid w:val="006C5F2F"/>
    <w:rsid w:val="006C66DB"/>
    <w:rsid w:val="006C74BC"/>
    <w:rsid w:val="006D4FD7"/>
    <w:rsid w:val="006E02E1"/>
    <w:rsid w:val="006E2D9E"/>
    <w:rsid w:val="006E3343"/>
    <w:rsid w:val="006E3A78"/>
    <w:rsid w:val="006E3FCB"/>
    <w:rsid w:val="006E45AC"/>
    <w:rsid w:val="006E64B1"/>
    <w:rsid w:val="006E735B"/>
    <w:rsid w:val="006F0B59"/>
    <w:rsid w:val="006F113F"/>
    <w:rsid w:val="006F1F5B"/>
    <w:rsid w:val="006F28BB"/>
    <w:rsid w:val="006F2B1D"/>
    <w:rsid w:val="006F52D6"/>
    <w:rsid w:val="006F66F1"/>
    <w:rsid w:val="006F7E72"/>
    <w:rsid w:val="00702DD9"/>
    <w:rsid w:val="00703584"/>
    <w:rsid w:val="00705D13"/>
    <w:rsid w:val="00713288"/>
    <w:rsid w:val="0072328E"/>
    <w:rsid w:val="00723576"/>
    <w:rsid w:val="007245CF"/>
    <w:rsid w:val="007251A8"/>
    <w:rsid w:val="007251B4"/>
    <w:rsid w:val="00725775"/>
    <w:rsid w:val="00727007"/>
    <w:rsid w:val="00731533"/>
    <w:rsid w:val="00737A00"/>
    <w:rsid w:val="00737A98"/>
    <w:rsid w:val="00743A3D"/>
    <w:rsid w:val="00743C38"/>
    <w:rsid w:val="0074569F"/>
    <w:rsid w:val="00745CD7"/>
    <w:rsid w:val="00746B9C"/>
    <w:rsid w:val="00752D24"/>
    <w:rsid w:val="00753C34"/>
    <w:rsid w:val="00755575"/>
    <w:rsid w:val="00763A6A"/>
    <w:rsid w:val="0076674D"/>
    <w:rsid w:val="00770FB3"/>
    <w:rsid w:val="007715C5"/>
    <w:rsid w:val="00780246"/>
    <w:rsid w:val="00780CF4"/>
    <w:rsid w:val="00785663"/>
    <w:rsid w:val="00785F2D"/>
    <w:rsid w:val="00787E88"/>
    <w:rsid w:val="007901E5"/>
    <w:rsid w:val="00792B03"/>
    <w:rsid w:val="00796325"/>
    <w:rsid w:val="007A1E96"/>
    <w:rsid w:val="007A38B5"/>
    <w:rsid w:val="007A46B1"/>
    <w:rsid w:val="007A4A6F"/>
    <w:rsid w:val="007B37AD"/>
    <w:rsid w:val="007B45D8"/>
    <w:rsid w:val="007B64D7"/>
    <w:rsid w:val="007B6618"/>
    <w:rsid w:val="007B78C6"/>
    <w:rsid w:val="007B7C52"/>
    <w:rsid w:val="007C4271"/>
    <w:rsid w:val="007C45E1"/>
    <w:rsid w:val="007D64FF"/>
    <w:rsid w:val="007E0191"/>
    <w:rsid w:val="007E1975"/>
    <w:rsid w:val="007E2538"/>
    <w:rsid w:val="007F3944"/>
    <w:rsid w:val="007F3C1A"/>
    <w:rsid w:val="007F462E"/>
    <w:rsid w:val="00800FCE"/>
    <w:rsid w:val="00801FFE"/>
    <w:rsid w:val="00805F5C"/>
    <w:rsid w:val="00812B4A"/>
    <w:rsid w:val="0081797D"/>
    <w:rsid w:val="00825BB2"/>
    <w:rsid w:val="00825F20"/>
    <w:rsid w:val="0083484E"/>
    <w:rsid w:val="00836AA2"/>
    <w:rsid w:val="0084276D"/>
    <w:rsid w:val="0084453C"/>
    <w:rsid w:val="00854453"/>
    <w:rsid w:val="00857281"/>
    <w:rsid w:val="00861A35"/>
    <w:rsid w:val="00874EA4"/>
    <w:rsid w:val="00885707"/>
    <w:rsid w:val="00885C48"/>
    <w:rsid w:val="008862F3"/>
    <w:rsid w:val="00891E18"/>
    <w:rsid w:val="0089257E"/>
    <w:rsid w:val="00894814"/>
    <w:rsid w:val="00894CAD"/>
    <w:rsid w:val="00897F97"/>
    <w:rsid w:val="008A2949"/>
    <w:rsid w:val="008A3F5D"/>
    <w:rsid w:val="008A46C8"/>
    <w:rsid w:val="008A5AA7"/>
    <w:rsid w:val="008B1711"/>
    <w:rsid w:val="008B2D1E"/>
    <w:rsid w:val="008B2E48"/>
    <w:rsid w:val="008B43BE"/>
    <w:rsid w:val="008B6ED7"/>
    <w:rsid w:val="008C314B"/>
    <w:rsid w:val="008C3792"/>
    <w:rsid w:val="008C3EC0"/>
    <w:rsid w:val="008C4D60"/>
    <w:rsid w:val="008C5A8E"/>
    <w:rsid w:val="008D0906"/>
    <w:rsid w:val="008D1FC8"/>
    <w:rsid w:val="008E6276"/>
    <w:rsid w:val="008E7375"/>
    <w:rsid w:val="008F2A58"/>
    <w:rsid w:val="009032B2"/>
    <w:rsid w:val="00903C7C"/>
    <w:rsid w:val="00917287"/>
    <w:rsid w:val="00923C2F"/>
    <w:rsid w:val="00926F2B"/>
    <w:rsid w:val="009316E9"/>
    <w:rsid w:val="00931B41"/>
    <w:rsid w:val="00932CDC"/>
    <w:rsid w:val="009420B8"/>
    <w:rsid w:val="00946264"/>
    <w:rsid w:val="00946F38"/>
    <w:rsid w:val="00952908"/>
    <w:rsid w:val="00957BCE"/>
    <w:rsid w:val="00960CD7"/>
    <w:rsid w:val="00963CD6"/>
    <w:rsid w:val="00965010"/>
    <w:rsid w:val="00965B4F"/>
    <w:rsid w:val="009675FD"/>
    <w:rsid w:val="009676F0"/>
    <w:rsid w:val="009709C6"/>
    <w:rsid w:val="00974AF0"/>
    <w:rsid w:val="00974FF8"/>
    <w:rsid w:val="00976465"/>
    <w:rsid w:val="00981B6D"/>
    <w:rsid w:val="00985718"/>
    <w:rsid w:val="0098777D"/>
    <w:rsid w:val="00993CD8"/>
    <w:rsid w:val="00994024"/>
    <w:rsid w:val="00995A00"/>
    <w:rsid w:val="009A03EC"/>
    <w:rsid w:val="009A26BA"/>
    <w:rsid w:val="009A3A9A"/>
    <w:rsid w:val="009A71BF"/>
    <w:rsid w:val="009B1CFE"/>
    <w:rsid w:val="009B20E2"/>
    <w:rsid w:val="009B291E"/>
    <w:rsid w:val="009B6142"/>
    <w:rsid w:val="009B7271"/>
    <w:rsid w:val="009B7ADF"/>
    <w:rsid w:val="009C018F"/>
    <w:rsid w:val="009D107C"/>
    <w:rsid w:val="009D20F6"/>
    <w:rsid w:val="009D23F9"/>
    <w:rsid w:val="009D4310"/>
    <w:rsid w:val="009D682C"/>
    <w:rsid w:val="009D7DF8"/>
    <w:rsid w:val="009E02A6"/>
    <w:rsid w:val="009E1281"/>
    <w:rsid w:val="009E20AE"/>
    <w:rsid w:val="009E2D69"/>
    <w:rsid w:val="009F339B"/>
    <w:rsid w:val="009F46A3"/>
    <w:rsid w:val="009F5D9B"/>
    <w:rsid w:val="009F745D"/>
    <w:rsid w:val="009F7A56"/>
    <w:rsid w:val="009F7B69"/>
    <w:rsid w:val="00A0074F"/>
    <w:rsid w:val="00A015E2"/>
    <w:rsid w:val="00A0239F"/>
    <w:rsid w:val="00A07CD6"/>
    <w:rsid w:val="00A109C3"/>
    <w:rsid w:val="00A11468"/>
    <w:rsid w:val="00A132CF"/>
    <w:rsid w:val="00A14CB0"/>
    <w:rsid w:val="00A15E31"/>
    <w:rsid w:val="00A2159F"/>
    <w:rsid w:val="00A226CE"/>
    <w:rsid w:val="00A34CDE"/>
    <w:rsid w:val="00A367ED"/>
    <w:rsid w:val="00A36DBE"/>
    <w:rsid w:val="00A46C52"/>
    <w:rsid w:val="00A47217"/>
    <w:rsid w:val="00A51BA6"/>
    <w:rsid w:val="00A52511"/>
    <w:rsid w:val="00A55760"/>
    <w:rsid w:val="00A570B8"/>
    <w:rsid w:val="00A720BA"/>
    <w:rsid w:val="00A735DD"/>
    <w:rsid w:val="00A765DF"/>
    <w:rsid w:val="00A805E2"/>
    <w:rsid w:val="00A806C4"/>
    <w:rsid w:val="00A831AD"/>
    <w:rsid w:val="00A87271"/>
    <w:rsid w:val="00A90C9D"/>
    <w:rsid w:val="00A91222"/>
    <w:rsid w:val="00A93DA9"/>
    <w:rsid w:val="00A95070"/>
    <w:rsid w:val="00A9509D"/>
    <w:rsid w:val="00A96589"/>
    <w:rsid w:val="00AA0712"/>
    <w:rsid w:val="00AA0BC1"/>
    <w:rsid w:val="00AA7DD8"/>
    <w:rsid w:val="00AB117D"/>
    <w:rsid w:val="00AB258F"/>
    <w:rsid w:val="00AB26AD"/>
    <w:rsid w:val="00AB2707"/>
    <w:rsid w:val="00AB5475"/>
    <w:rsid w:val="00AB5543"/>
    <w:rsid w:val="00AB5961"/>
    <w:rsid w:val="00AB6E50"/>
    <w:rsid w:val="00AB71D2"/>
    <w:rsid w:val="00AC31AE"/>
    <w:rsid w:val="00AC55A7"/>
    <w:rsid w:val="00AC778C"/>
    <w:rsid w:val="00AD035F"/>
    <w:rsid w:val="00AD057D"/>
    <w:rsid w:val="00AD0679"/>
    <w:rsid w:val="00AD1B87"/>
    <w:rsid w:val="00AD2A75"/>
    <w:rsid w:val="00AD31EA"/>
    <w:rsid w:val="00AD3415"/>
    <w:rsid w:val="00AD4451"/>
    <w:rsid w:val="00AD50C9"/>
    <w:rsid w:val="00AD719A"/>
    <w:rsid w:val="00AD7425"/>
    <w:rsid w:val="00AE0827"/>
    <w:rsid w:val="00AE2137"/>
    <w:rsid w:val="00AE5E6A"/>
    <w:rsid w:val="00AF327C"/>
    <w:rsid w:val="00AF330E"/>
    <w:rsid w:val="00AF35F0"/>
    <w:rsid w:val="00AF7A6E"/>
    <w:rsid w:val="00B012AA"/>
    <w:rsid w:val="00B01EC0"/>
    <w:rsid w:val="00B073CD"/>
    <w:rsid w:val="00B12148"/>
    <w:rsid w:val="00B160E7"/>
    <w:rsid w:val="00B31393"/>
    <w:rsid w:val="00B334E3"/>
    <w:rsid w:val="00B3672B"/>
    <w:rsid w:val="00B37267"/>
    <w:rsid w:val="00B3794F"/>
    <w:rsid w:val="00B420A4"/>
    <w:rsid w:val="00B47753"/>
    <w:rsid w:val="00B51888"/>
    <w:rsid w:val="00B53039"/>
    <w:rsid w:val="00B539F7"/>
    <w:rsid w:val="00B543FB"/>
    <w:rsid w:val="00B62092"/>
    <w:rsid w:val="00B62590"/>
    <w:rsid w:val="00B65F6E"/>
    <w:rsid w:val="00B67B4C"/>
    <w:rsid w:val="00B77806"/>
    <w:rsid w:val="00B8149A"/>
    <w:rsid w:val="00B8395A"/>
    <w:rsid w:val="00B85679"/>
    <w:rsid w:val="00B871D3"/>
    <w:rsid w:val="00B944FD"/>
    <w:rsid w:val="00B97279"/>
    <w:rsid w:val="00BA175D"/>
    <w:rsid w:val="00BB123E"/>
    <w:rsid w:val="00BB18A6"/>
    <w:rsid w:val="00BB484B"/>
    <w:rsid w:val="00BB4B1C"/>
    <w:rsid w:val="00BC02A1"/>
    <w:rsid w:val="00BC1AD5"/>
    <w:rsid w:val="00BC6977"/>
    <w:rsid w:val="00BD0DDC"/>
    <w:rsid w:val="00BD2B82"/>
    <w:rsid w:val="00BE4238"/>
    <w:rsid w:val="00BE5166"/>
    <w:rsid w:val="00BE6A26"/>
    <w:rsid w:val="00BE7E58"/>
    <w:rsid w:val="00BF3A56"/>
    <w:rsid w:val="00BF4B2E"/>
    <w:rsid w:val="00BF4CCF"/>
    <w:rsid w:val="00BF5C83"/>
    <w:rsid w:val="00BF5ECD"/>
    <w:rsid w:val="00BF6A1D"/>
    <w:rsid w:val="00BF6C29"/>
    <w:rsid w:val="00BF78AA"/>
    <w:rsid w:val="00C0109C"/>
    <w:rsid w:val="00C04015"/>
    <w:rsid w:val="00C051CE"/>
    <w:rsid w:val="00C05371"/>
    <w:rsid w:val="00C05538"/>
    <w:rsid w:val="00C07802"/>
    <w:rsid w:val="00C12550"/>
    <w:rsid w:val="00C16538"/>
    <w:rsid w:val="00C21B40"/>
    <w:rsid w:val="00C23C69"/>
    <w:rsid w:val="00C255F2"/>
    <w:rsid w:val="00C274D3"/>
    <w:rsid w:val="00C32FFC"/>
    <w:rsid w:val="00C354F4"/>
    <w:rsid w:val="00C36B41"/>
    <w:rsid w:val="00C401A6"/>
    <w:rsid w:val="00C41292"/>
    <w:rsid w:val="00C4150D"/>
    <w:rsid w:val="00C420B2"/>
    <w:rsid w:val="00C44E83"/>
    <w:rsid w:val="00C45156"/>
    <w:rsid w:val="00C4799F"/>
    <w:rsid w:val="00C5328A"/>
    <w:rsid w:val="00C57AB7"/>
    <w:rsid w:val="00C658C1"/>
    <w:rsid w:val="00C65DB7"/>
    <w:rsid w:val="00C65F43"/>
    <w:rsid w:val="00C715B0"/>
    <w:rsid w:val="00C72465"/>
    <w:rsid w:val="00C75749"/>
    <w:rsid w:val="00C7645A"/>
    <w:rsid w:val="00C77CFE"/>
    <w:rsid w:val="00C80658"/>
    <w:rsid w:val="00C82604"/>
    <w:rsid w:val="00C86E06"/>
    <w:rsid w:val="00C87EBD"/>
    <w:rsid w:val="00C93C9C"/>
    <w:rsid w:val="00C948FF"/>
    <w:rsid w:val="00C96038"/>
    <w:rsid w:val="00C96883"/>
    <w:rsid w:val="00C97389"/>
    <w:rsid w:val="00C97EFA"/>
    <w:rsid w:val="00CA0100"/>
    <w:rsid w:val="00CA07F8"/>
    <w:rsid w:val="00CA0E0B"/>
    <w:rsid w:val="00CA37CC"/>
    <w:rsid w:val="00CA3CAA"/>
    <w:rsid w:val="00CA3F9D"/>
    <w:rsid w:val="00CA4303"/>
    <w:rsid w:val="00CB08E6"/>
    <w:rsid w:val="00CB0AB8"/>
    <w:rsid w:val="00CB29DF"/>
    <w:rsid w:val="00CC2E5D"/>
    <w:rsid w:val="00CC43C5"/>
    <w:rsid w:val="00CC62E9"/>
    <w:rsid w:val="00CC6CFE"/>
    <w:rsid w:val="00CD0E8E"/>
    <w:rsid w:val="00CD42B9"/>
    <w:rsid w:val="00CE365C"/>
    <w:rsid w:val="00CE7B7C"/>
    <w:rsid w:val="00CF0078"/>
    <w:rsid w:val="00CF4D17"/>
    <w:rsid w:val="00CF517B"/>
    <w:rsid w:val="00CF6A53"/>
    <w:rsid w:val="00D02690"/>
    <w:rsid w:val="00D122EB"/>
    <w:rsid w:val="00D12E24"/>
    <w:rsid w:val="00D13480"/>
    <w:rsid w:val="00D13A8B"/>
    <w:rsid w:val="00D1514F"/>
    <w:rsid w:val="00D15BD4"/>
    <w:rsid w:val="00D16454"/>
    <w:rsid w:val="00D16547"/>
    <w:rsid w:val="00D20AB7"/>
    <w:rsid w:val="00D223F0"/>
    <w:rsid w:val="00D23907"/>
    <w:rsid w:val="00D23C42"/>
    <w:rsid w:val="00D3251C"/>
    <w:rsid w:val="00D35CFE"/>
    <w:rsid w:val="00D4110D"/>
    <w:rsid w:val="00D445D3"/>
    <w:rsid w:val="00D45C03"/>
    <w:rsid w:val="00D51D11"/>
    <w:rsid w:val="00D56FBA"/>
    <w:rsid w:val="00D606CB"/>
    <w:rsid w:val="00D67390"/>
    <w:rsid w:val="00D701A7"/>
    <w:rsid w:val="00D70E58"/>
    <w:rsid w:val="00D7600D"/>
    <w:rsid w:val="00D80043"/>
    <w:rsid w:val="00D8186B"/>
    <w:rsid w:val="00D8298D"/>
    <w:rsid w:val="00D8523B"/>
    <w:rsid w:val="00D86BC1"/>
    <w:rsid w:val="00D90ED5"/>
    <w:rsid w:val="00D91044"/>
    <w:rsid w:val="00D94029"/>
    <w:rsid w:val="00DA15B8"/>
    <w:rsid w:val="00DA621A"/>
    <w:rsid w:val="00DC11BF"/>
    <w:rsid w:val="00DC1262"/>
    <w:rsid w:val="00DC2DD6"/>
    <w:rsid w:val="00DC6D29"/>
    <w:rsid w:val="00DC7044"/>
    <w:rsid w:val="00DD16B1"/>
    <w:rsid w:val="00DD1700"/>
    <w:rsid w:val="00DD5ED2"/>
    <w:rsid w:val="00DD7A16"/>
    <w:rsid w:val="00DE0710"/>
    <w:rsid w:val="00DE07B3"/>
    <w:rsid w:val="00DE282C"/>
    <w:rsid w:val="00DE31EF"/>
    <w:rsid w:val="00DE59F1"/>
    <w:rsid w:val="00DE7223"/>
    <w:rsid w:val="00DE7327"/>
    <w:rsid w:val="00DF0596"/>
    <w:rsid w:val="00DF5E4B"/>
    <w:rsid w:val="00DF6D3F"/>
    <w:rsid w:val="00E0156C"/>
    <w:rsid w:val="00E02BE7"/>
    <w:rsid w:val="00E04080"/>
    <w:rsid w:val="00E12960"/>
    <w:rsid w:val="00E12F42"/>
    <w:rsid w:val="00E15963"/>
    <w:rsid w:val="00E17C80"/>
    <w:rsid w:val="00E238DC"/>
    <w:rsid w:val="00E27D62"/>
    <w:rsid w:val="00E31122"/>
    <w:rsid w:val="00E33248"/>
    <w:rsid w:val="00E34E98"/>
    <w:rsid w:val="00E40D9F"/>
    <w:rsid w:val="00E4295C"/>
    <w:rsid w:val="00E42D2C"/>
    <w:rsid w:val="00E47EB2"/>
    <w:rsid w:val="00E50919"/>
    <w:rsid w:val="00E5377A"/>
    <w:rsid w:val="00E57393"/>
    <w:rsid w:val="00E64ABC"/>
    <w:rsid w:val="00E652E8"/>
    <w:rsid w:val="00E70104"/>
    <w:rsid w:val="00E73EA5"/>
    <w:rsid w:val="00E77A48"/>
    <w:rsid w:val="00E81526"/>
    <w:rsid w:val="00E82998"/>
    <w:rsid w:val="00E849FE"/>
    <w:rsid w:val="00E862EE"/>
    <w:rsid w:val="00E8649F"/>
    <w:rsid w:val="00E8678D"/>
    <w:rsid w:val="00E86E1C"/>
    <w:rsid w:val="00E95D11"/>
    <w:rsid w:val="00EA16CD"/>
    <w:rsid w:val="00EA18BD"/>
    <w:rsid w:val="00EA1BF5"/>
    <w:rsid w:val="00EA3C8E"/>
    <w:rsid w:val="00EA6136"/>
    <w:rsid w:val="00EB519D"/>
    <w:rsid w:val="00EB6ED3"/>
    <w:rsid w:val="00EB7621"/>
    <w:rsid w:val="00EC06F5"/>
    <w:rsid w:val="00EC086C"/>
    <w:rsid w:val="00EC2E5C"/>
    <w:rsid w:val="00EC6B4C"/>
    <w:rsid w:val="00ED0EA3"/>
    <w:rsid w:val="00ED20E8"/>
    <w:rsid w:val="00ED22B7"/>
    <w:rsid w:val="00ED3B14"/>
    <w:rsid w:val="00ED3C9B"/>
    <w:rsid w:val="00ED3F6D"/>
    <w:rsid w:val="00ED54A3"/>
    <w:rsid w:val="00ED5C4A"/>
    <w:rsid w:val="00EE04FB"/>
    <w:rsid w:val="00EE0ED8"/>
    <w:rsid w:val="00EE33BF"/>
    <w:rsid w:val="00EE4A50"/>
    <w:rsid w:val="00EE4BDA"/>
    <w:rsid w:val="00EF05E0"/>
    <w:rsid w:val="00EF1FAE"/>
    <w:rsid w:val="00EF4EC6"/>
    <w:rsid w:val="00EF51AA"/>
    <w:rsid w:val="00EF5E59"/>
    <w:rsid w:val="00EF64FF"/>
    <w:rsid w:val="00EF7343"/>
    <w:rsid w:val="00EF7519"/>
    <w:rsid w:val="00EF7560"/>
    <w:rsid w:val="00EF7849"/>
    <w:rsid w:val="00F0069A"/>
    <w:rsid w:val="00F01C50"/>
    <w:rsid w:val="00F01D39"/>
    <w:rsid w:val="00F04021"/>
    <w:rsid w:val="00F123E6"/>
    <w:rsid w:val="00F12780"/>
    <w:rsid w:val="00F15C71"/>
    <w:rsid w:val="00F1683B"/>
    <w:rsid w:val="00F168AD"/>
    <w:rsid w:val="00F175A5"/>
    <w:rsid w:val="00F22262"/>
    <w:rsid w:val="00F2313E"/>
    <w:rsid w:val="00F25EA5"/>
    <w:rsid w:val="00F27369"/>
    <w:rsid w:val="00F309C4"/>
    <w:rsid w:val="00F3424F"/>
    <w:rsid w:val="00F34F61"/>
    <w:rsid w:val="00F35151"/>
    <w:rsid w:val="00F354E8"/>
    <w:rsid w:val="00F36370"/>
    <w:rsid w:val="00F36FFB"/>
    <w:rsid w:val="00F404F8"/>
    <w:rsid w:val="00F42155"/>
    <w:rsid w:val="00F42D1B"/>
    <w:rsid w:val="00F42D37"/>
    <w:rsid w:val="00F50A43"/>
    <w:rsid w:val="00F53BC4"/>
    <w:rsid w:val="00F56E49"/>
    <w:rsid w:val="00F6062D"/>
    <w:rsid w:val="00F632B9"/>
    <w:rsid w:val="00F6437A"/>
    <w:rsid w:val="00F65954"/>
    <w:rsid w:val="00F6709D"/>
    <w:rsid w:val="00F67D6D"/>
    <w:rsid w:val="00F70C8A"/>
    <w:rsid w:val="00F744C3"/>
    <w:rsid w:val="00F74CC9"/>
    <w:rsid w:val="00F74DD8"/>
    <w:rsid w:val="00F7701A"/>
    <w:rsid w:val="00F82972"/>
    <w:rsid w:val="00F83F97"/>
    <w:rsid w:val="00F868BD"/>
    <w:rsid w:val="00F87273"/>
    <w:rsid w:val="00F87DCF"/>
    <w:rsid w:val="00FA3526"/>
    <w:rsid w:val="00FA6ADD"/>
    <w:rsid w:val="00FA6FE0"/>
    <w:rsid w:val="00FA7A71"/>
    <w:rsid w:val="00FB1573"/>
    <w:rsid w:val="00FB18F2"/>
    <w:rsid w:val="00FB31E9"/>
    <w:rsid w:val="00FB39CC"/>
    <w:rsid w:val="00FB3BCA"/>
    <w:rsid w:val="00FB4DEC"/>
    <w:rsid w:val="00FB5EAA"/>
    <w:rsid w:val="00FB776C"/>
    <w:rsid w:val="00FB784E"/>
    <w:rsid w:val="00FB7A1F"/>
    <w:rsid w:val="00FC01C3"/>
    <w:rsid w:val="00FD569D"/>
    <w:rsid w:val="00FD6047"/>
    <w:rsid w:val="00FD77EA"/>
    <w:rsid w:val="00FE0E63"/>
    <w:rsid w:val="00FE0EBD"/>
    <w:rsid w:val="00FE20B8"/>
    <w:rsid w:val="00FE5B23"/>
    <w:rsid w:val="00FE63F5"/>
    <w:rsid w:val="00FE690A"/>
    <w:rsid w:val="00FE7EF8"/>
    <w:rsid w:val="00FF62E2"/>
    <w:rsid w:val="00FF6986"/>
    <w:rsid w:val="063A6290"/>
    <w:rsid w:val="0B3C2BAA"/>
    <w:rsid w:val="14BBFAE4"/>
    <w:rsid w:val="1E5CF907"/>
    <w:rsid w:val="2C7B8625"/>
    <w:rsid w:val="46C0F5F1"/>
    <w:rsid w:val="4D507BC3"/>
    <w:rsid w:val="4DCE017F"/>
    <w:rsid w:val="61DAC9C0"/>
    <w:rsid w:val="6A293B13"/>
    <w:rsid w:val="6ACCD0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17A863"/>
  <w15:docId w15:val="{3D356182-517D-4B84-AB43-AFA41B88A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0100"/>
    <w:rPr>
      <w:sz w:val="24"/>
      <w:szCs w:val="24"/>
    </w:rPr>
  </w:style>
  <w:style w:type="paragraph" w:styleId="Titre1">
    <w:name w:val="heading 1"/>
    <w:basedOn w:val="Normal"/>
    <w:next w:val="Normal"/>
    <w:qFormat/>
    <w:pPr>
      <w:keepNext/>
      <w:tabs>
        <w:tab w:val="left" w:pos="5760"/>
      </w:tabs>
      <w:jc w:val="center"/>
      <w:outlineLvl w:val="0"/>
    </w:pPr>
    <w:rPr>
      <w:b/>
      <w:bCs/>
      <w:smallCaps/>
      <w:sz w:val="28"/>
    </w:rPr>
  </w:style>
  <w:style w:type="paragraph" w:styleId="Titre2">
    <w:name w:val="heading 2"/>
    <w:basedOn w:val="Normal"/>
    <w:next w:val="Normal"/>
    <w:qFormat/>
    <w:pPr>
      <w:keepNext/>
      <w:tabs>
        <w:tab w:val="left" w:pos="5760"/>
      </w:tabs>
      <w:ind w:left="2880" w:right="2052"/>
      <w:jc w:val="center"/>
      <w:outlineLvl w:val="1"/>
    </w:pPr>
    <w:rPr>
      <w:b/>
      <w:bCs/>
    </w:rPr>
  </w:style>
  <w:style w:type="paragraph" w:styleId="Titre3">
    <w:name w:val="heading 3"/>
    <w:basedOn w:val="Normal"/>
    <w:next w:val="Normal"/>
    <w:qFormat/>
    <w:pPr>
      <w:keepNext/>
      <w:outlineLvl w:val="2"/>
    </w:pPr>
    <w:rPr>
      <w:u w:val="single"/>
    </w:rPr>
  </w:style>
  <w:style w:type="paragraph" w:styleId="Titre4">
    <w:name w:val="heading 4"/>
    <w:basedOn w:val="Normal"/>
    <w:next w:val="Normal"/>
    <w:qFormat/>
    <w:pPr>
      <w:keepNext/>
      <w:tabs>
        <w:tab w:val="left" w:pos="1260"/>
      </w:tabs>
      <w:jc w:val="center"/>
      <w:outlineLvl w:val="3"/>
    </w:pPr>
    <w:rPr>
      <w:i/>
      <w:iCs/>
    </w:rPr>
  </w:style>
  <w:style w:type="paragraph" w:styleId="Titre5">
    <w:name w:val="heading 5"/>
    <w:basedOn w:val="Normal"/>
    <w:next w:val="Normal"/>
    <w:qFormat/>
    <w:pPr>
      <w:keepNext/>
      <w:tabs>
        <w:tab w:val="left" w:pos="5760"/>
      </w:tabs>
      <w:ind w:left="2340"/>
      <w:outlineLvl w:val="4"/>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styleId="Corpsdetexte">
    <w:name w:val="Body Text"/>
    <w:basedOn w:val="Normal"/>
    <w:pPr>
      <w:tabs>
        <w:tab w:val="left" w:pos="5220"/>
      </w:tabs>
      <w:jc w:val="both"/>
    </w:pPr>
  </w:style>
  <w:style w:type="character" w:styleId="Lienhypertexte">
    <w:name w:val="Hyperlink"/>
    <w:rsid w:val="00F50A43"/>
    <w:rPr>
      <w:color w:val="0000FF"/>
      <w:u w:val="single"/>
    </w:rPr>
  </w:style>
  <w:style w:type="paragraph" w:styleId="Textedebulles">
    <w:name w:val="Balloon Text"/>
    <w:basedOn w:val="Normal"/>
    <w:semiHidden/>
    <w:rsid w:val="00792B03"/>
    <w:rPr>
      <w:rFonts w:ascii="Tahoma" w:hAnsi="Tahoma" w:cs="Tahoma"/>
      <w:sz w:val="16"/>
      <w:szCs w:val="16"/>
    </w:rPr>
  </w:style>
  <w:style w:type="character" w:styleId="Accentuation">
    <w:name w:val="Emphasis"/>
    <w:qFormat/>
    <w:rsid w:val="003E7B41"/>
    <w:rPr>
      <w:i/>
      <w:iCs/>
    </w:rPr>
  </w:style>
  <w:style w:type="table" w:styleId="Grilledutableau">
    <w:name w:val="Table Grid"/>
    <w:basedOn w:val="TableauNormal"/>
    <w:uiPriority w:val="59"/>
    <w:rsid w:val="00B814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B814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1"/>
    <w:qFormat/>
    <w:rsid w:val="00EF51AA"/>
    <w:pPr>
      <w:ind w:left="720"/>
      <w:contextualSpacing/>
    </w:pPr>
  </w:style>
  <w:style w:type="character" w:customStyle="1" w:styleId="PieddepageCar">
    <w:name w:val="Pied de page Car"/>
    <w:basedOn w:val="Policepardfaut"/>
    <w:link w:val="Pieddepage"/>
    <w:uiPriority w:val="99"/>
    <w:rsid w:val="00E82998"/>
    <w:rPr>
      <w:sz w:val="24"/>
      <w:szCs w:val="24"/>
    </w:rPr>
  </w:style>
  <w:style w:type="paragraph" w:styleId="NormalWeb">
    <w:name w:val="Normal (Web)"/>
    <w:basedOn w:val="Normal"/>
    <w:uiPriority w:val="99"/>
    <w:unhideWhenUsed/>
    <w:rsid w:val="00BD0DDC"/>
    <w:pPr>
      <w:spacing w:before="100" w:beforeAutospacing="1" w:after="100" w:afterAutospacing="1"/>
    </w:pPr>
  </w:style>
  <w:style w:type="paragraph" w:styleId="Sansinterligne">
    <w:name w:val="No Spacing"/>
    <w:uiPriority w:val="1"/>
    <w:qFormat/>
    <w:rsid w:val="00BD0DDC"/>
    <w:pPr>
      <w:tabs>
        <w:tab w:val="left" w:pos="709"/>
      </w:tabs>
      <w:suppressAutoHyphens/>
      <w:overflowPunct w:val="0"/>
      <w:spacing w:line="200" w:lineRule="atLeast"/>
    </w:pPr>
    <w:rPr>
      <w:rFonts w:ascii="Calibri" w:eastAsia="Calibri" w:hAnsi="Calibri" w:cs="Tahoma"/>
      <w:color w:val="00000A"/>
      <w:sz w:val="22"/>
      <w:szCs w:val="22"/>
      <w:lang w:eastAsia="en-US" w:bidi="fr-FR"/>
    </w:rPr>
  </w:style>
  <w:style w:type="character" w:customStyle="1" w:styleId="ParagraphedelisteCar">
    <w:name w:val="Paragraphe de liste Car"/>
    <w:link w:val="Paragraphedeliste"/>
    <w:uiPriority w:val="1"/>
    <w:locked/>
    <w:rsid w:val="00BD0DDC"/>
    <w:rPr>
      <w:sz w:val="24"/>
      <w:szCs w:val="24"/>
    </w:rPr>
  </w:style>
  <w:style w:type="table" w:styleId="TableauGrille2-Accentuation1">
    <w:name w:val="Grid Table 2 Accent 1"/>
    <w:basedOn w:val="TableauNormal"/>
    <w:uiPriority w:val="47"/>
    <w:rsid w:val="000E22D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6Couleur-Accentuation1">
    <w:name w:val="Grid Table 6 Colorful Accent 1"/>
    <w:basedOn w:val="TableauNormal"/>
    <w:uiPriority w:val="51"/>
    <w:rsid w:val="009A3A9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3-Accentuation5">
    <w:name w:val="Grid Table 3 Accent 5"/>
    <w:basedOn w:val="TableauNormal"/>
    <w:uiPriority w:val="48"/>
    <w:rsid w:val="009A3A9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styleId="Marquedecommentaire">
    <w:name w:val="annotation reference"/>
    <w:basedOn w:val="Policepardfaut"/>
    <w:semiHidden/>
    <w:unhideWhenUsed/>
    <w:rsid w:val="009316E9"/>
    <w:rPr>
      <w:sz w:val="16"/>
      <w:szCs w:val="16"/>
    </w:rPr>
  </w:style>
  <w:style w:type="paragraph" w:styleId="Commentaire">
    <w:name w:val="annotation text"/>
    <w:basedOn w:val="Normal"/>
    <w:link w:val="CommentaireCar"/>
    <w:unhideWhenUsed/>
    <w:rsid w:val="009316E9"/>
    <w:rPr>
      <w:sz w:val="20"/>
      <w:szCs w:val="20"/>
    </w:rPr>
  </w:style>
  <w:style w:type="character" w:customStyle="1" w:styleId="CommentaireCar">
    <w:name w:val="Commentaire Car"/>
    <w:basedOn w:val="Policepardfaut"/>
    <w:link w:val="Commentaire"/>
    <w:rsid w:val="009316E9"/>
  </w:style>
  <w:style w:type="paragraph" w:styleId="Objetducommentaire">
    <w:name w:val="annotation subject"/>
    <w:basedOn w:val="Commentaire"/>
    <w:next w:val="Commentaire"/>
    <w:link w:val="ObjetducommentaireCar"/>
    <w:semiHidden/>
    <w:unhideWhenUsed/>
    <w:rsid w:val="009316E9"/>
    <w:rPr>
      <w:b/>
      <w:bCs/>
    </w:rPr>
  </w:style>
  <w:style w:type="character" w:customStyle="1" w:styleId="ObjetducommentaireCar">
    <w:name w:val="Objet du commentaire Car"/>
    <w:basedOn w:val="CommentaireCar"/>
    <w:link w:val="Objetducommentaire"/>
    <w:semiHidden/>
    <w:rsid w:val="009316E9"/>
    <w:rPr>
      <w:b/>
      <w:bCs/>
    </w:rPr>
  </w:style>
  <w:style w:type="paragraph" w:customStyle="1" w:styleId="Default">
    <w:name w:val="Default"/>
    <w:rsid w:val="00A36DBE"/>
    <w:pPr>
      <w:autoSpaceDE w:val="0"/>
      <w:autoSpaceDN w:val="0"/>
      <w:adjustRightInd w:val="0"/>
    </w:pPr>
    <w:rPr>
      <w:rFonts w:ascii="Calibri" w:eastAsiaTheme="minorHAnsi" w:hAnsi="Calibri" w:cs="Calibri"/>
      <w:color w:val="000000"/>
      <w:sz w:val="24"/>
      <w:szCs w:val="24"/>
      <w:lang w:eastAsia="en-US"/>
    </w:rPr>
  </w:style>
  <w:style w:type="paragraph" w:styleId="Rvision">
    <w:name w:val="Revision"/>
    <w:hidden/>
    <w:uiPriority w:val="99"/>
    <w:semiHidden/>
    <w:rsid w:val="00A36DBE"/>
    <w:rPr>
      <w:sz w:val="24"/>
      <w:szCs w:val="24"/>
    </w:rPr>
  </w:style>
  <w:style w:type="table" w:customStyle="1" w:styleId="Grilledutableau5">
    <w:name w:val="Grille du tableau5"/>
    <w:basedOn w:val="TableauNormal"/>
    <w:next w:val="Grilledutableau"/>
    <w:uiPriority w:val="39"/>
    <w:rsid w:val="00677179"/>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D719A"/>
    <w:pPr>
      <w:widowControl w:val="0"/>
      <w:autoSpaceDE w:val="0"/>
      <w:autoSpaceDN w:val="0"/>
      <w:spacing w:before="1" w:line="199" w:lineRule="exact"/>
      <w:ind w:left="100"/>
    </w:pPr>
    <w:rPr>
      <w:rFonts w:ascii="Calibri" w:eastAsia="Calibri" w:hAnsi="Calibri" w:cs="Calibri"/>
      <w:sz w:val="22"/>
      <w:szCs w:val="22"/>
      <w:lang w:eastAsia="en-US"/>
    </w:rPr>
  </w:style>
  <w:style w:type="table" w:customStyle="1" w:styleId="NormalTable0">
    <w:name w:val="Normal Table0"/>
    <w:uiPriority w:val="2"/>
    <w:semiHidden/>
    <w:unhideWhenUsed/>
    <w:qFormat/>
    <w:rsid w:val="0048514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Listeactuelle1">
    <w:name w:val="Liste actuelle1"/>
    <w:uiPriority w:val="99"/>
    <w:rsid w:val="006A6D38"/>
    <w:pPr>
      <w:numPr>
        <w:numId w:val="38"/>
      </w:numPr>
    </w:pPr>
  </w:style>
  <w:style w:type="character" w:styleId="lev">
    <w:name w:val="Strong"/>
    <w:basedOn w:val="Policepardfaut"/>
    <w:uiPriority w:val="22"/>
    <w:qFormat/>
    <w:rsid w:val="00AA0BC1"/>
    <w:rPr>
      <w:b/>
      <w:bCs/>
    </w:rPr>
  </w:style>
  <w:style w:type="character" w:styleId="Mentionnonrsolue">
    <w:name w:val="Unresolved Mention"/>
    <w:basedOn w:val="Policepardfaut"/>
    <w:uiPriority w:val="99"/>
    <w:semiHidden/>
    <w:unhideWhenUsed/>
    <w:rsid w:val="00BE7E58"/>
    <w:rPr>
      <w:color w:val="605E5C"/>
      <w:shd w:val="clear" w:color="auto" w:fill="E1DFDD"/>
    </w:rPr>
  </w:style>
  <w:style w:type="table" w:customStyle="1" w:styleId="TableNormal1">
    <w:name w:val="Table Normal1"/>
    <w:uiPriority w:val="2"/>
    <w:semiHidden/>
    <w:unhideWhenUsed/>
    <w:qFormat/>
    <w:rsid w:val="00E47EB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5483">
      <w:bodyDiv w:val="1"/>
      <w:marLeft w:val="0"/>
      <w:marRight w:val="0"/>
      <w:marTop w:val="0"/>
      <w:marBottom w:val="0"/>
      <w:divBdr>
        <w:top w:val="none" w:sz="0" w:space="0" w:color="auto"/>
        <w:left w:val="none" w:sz="0" w:space="0" w:color="auto"/>
        <w:bottom w:val="none" w:sz="0" w:space="0" w:color="auto"/>
        <w:right w:val="none" w:sz="0" w:space="0" w:color="auto"/>
      </w:divBdr>
    </w:div>
    <w:div w:id="201014294">
      <w:bodyDiv w:val="1"/>
      <w:marLeft w:val="0"/>
      <w:marRight w:val="0"/>
      <w:marTop w:val="0"/>
      <w:marBottom w:val="0"/>
      <w:divBdr>
        <w:top w:val="none" w:sz="0" w:space="0" w:color="auto"/>
        <w:left w:val="none" w:sz="0" w:space="0" w:color="auto"/>
        <w:bottom w:val="none" w:sz="0" w:space="0" w:color="auto"/>
        <w:right w:val="none" w:sz="0" w:space="0" w:color="auto"/>
      </w:divBdr>
    </w:div>
    <w:div w:id="260332546">
      <w:bodyDiv w:val="1"/>
      <w:marLeft w:val="0"/>
      <w:marRight w:val="0"/>
      <w:marTop w:val="0"/>
      <w:marBottom w:val="0"/>
      <w:divBdr>
        <w:top w:val="none" w:sz="0" w:space="0" w:color="auto"/>
        <w:left w:val="none" w:sz="0" w:space="0" w:color="auto"/>
        <w:bottom w:val="none" w:sz="0" w:space="0" w:color="auto"/>
        <w:right w:val="none" w:sz="0" w:space="0" w:color="auto"/>
      </w:divBdr>
    </w:div>
    <w:div w:id="276527039">
      <w:bodyDiv w:val="1"/>
      <w:marLeft w:val="0"/>
      <w:marRight w:val="0"/>
      <w:marTop w:val="0"/>
      <w:marBottom w:val="0"/>
      <w:divBdr>
        <w:top w:val="none" w:sz="0" w:space="0" w:color="auto"/>
        <w:left w:val="none" w:sz="0" w:space="0" w:color="auto"/>
        <w:bottom w:val="none" w:sz="0" w:space="0" w:color="auto"/>
        <w:right w:val="none" w:sz="0" w:space="0" w:color="auto"/>
      </w:divBdr>
    </w:div>
    <w:div w:id="655961792">
      <w:bodyDiv w:val="1"/>
      <w:marLeft w:val="0"/>
      <w:marRight w:val="0"/>
      <w:marTop w:val="0"/>
      <w:marBottom w:val="0"/>
      <w:divBdr>
        <w:top w:val="none" w:sz="0" w:space="0" w:color="auto"/>
        <w:left w:val="none" w:sz="0" w:space="0" w:color="auto"/>
        <w:bottom w:val="none" w:sz="0" w:space="0" w:color="auto"/>
        <w:right w:val="none" w:sz="0" w:space="0" w:color="auto"/>
      </w:divBdr>
    </w:div>
    <w:div w:id="837112629">
      <w:bodyDiv w:val="1"/>
      <w:marLeft w:val="0"/>
      <w:marRight w:val="0"/>
      <w:marTop w:val="0"/>
      <w:marBottom w:val="0"/>
      <w:divBdr>
        <w:top w:val="none" w:sz="0" w:space="0" w:color="auto"/>
        <w:left w:val="none" w:sz="0" w:space="0" w:color="auto"/>
        <w:bottom w:val="none" w:sz="0" w:space="0" w:color="auto"/>
        <w:right w:val="none" w:sz="0" w:space="0" w:color="auto"/>
      </w:divBdr>
    </w:div>
    <w:div w:id="1034034913">
      <w:bodyDiv w:val="1"/>
      <w:marLeft w:val="0"/>
      <w:marRight w:val="0"/>
      <w:marTop w:val="0"/>
      <w:marBottom w:val="0"/>
      <w:divBdr>
        <w:top w:val="none" w:sz="0" w:space="0" w:color="auto"/>
        <w:left w:val="none" w:sz="0" w:space="0" w:color="auto"/>
        <w:bottom w:val="none" w:sz="0" w:space="0" w:color="auto"/>
        <w:right w:val="none" w:sz="0" w:space="0" w:color="auto"/>
      </w:divBdr>
    </w:div>
    <w:div w:id="1184051850">
      <w:bodyDiv w:val="1"/>
      <w:marLeft w:val="0"/>
      <w:marRight w:val="0"/>
      <w:marTop w:val="0"/>
      <w:marBottom w:val="0"/>
      <w:divBdr>
        <w:top w:val="none" w:sz="0" w:space="0" w:color="auto"/>
        <w:left w:val="none" w:sz="0" w:space="0" w:color="auto"/>
        <w:bottom w:val="none" w:sz="0" w:space="0" w:color="auto"/>
        <w:right w:val="none" w:sz="0" w:space="0" w:color="auto"/>
      </w:divBdr>
    </w:div>
    <w:div w:id="1624533379">
      <w:bodyDiv w:val="1"/>
      <w:marLeft w:val="0"/>
      <w:marRight w:val="0"/>
      <w:marTop w:val="0"/>
      <w:marBottom w:val="0"/>
      <w:divBdr>
        <w:top w:val="none" w:sz="0" w:space="0" w:color="auto"/>
        <w:left w:val="none" w:sz="0" w:space="0" w:color="auto"/>
        <w:bottom w:val="none" w:sz="0" w:space="0" w:color="auto"/>
        <w:right w:val="none" w:sz="0" w:space="0" w:color="auto"/>
      </w:divBdr>
    </w:div>
    <w:div w:id="1679966665">
      <w:bodyDiv w:val="1"/>
      <w:marLeft w:val="0"/>
      <w:marRight w:val="0"/>
      <w:marTop w:val="0"/>
      <w:marBottom w:val="0"/>
      <w:divBdr>
        <w:top w:val="none" w:sz="0" w:space="0" w:color="auto"/>
        <w:left w:val="none" w:sz="0" w:space="0" w:color="auto"/>
        <w:bottom w:val="none" w:sz="0" w:space="0" w:color="auto"/>
        <w:right w:val="none" w:sz="0" w:space="0" w:color="auto"/>
      </w:divBdr>
    </w:div>
    <w:div w:id="1848210206">
      <w:bodyDiv w:val="1"/>
      <w:marLeft w:val="0"/>
      <w:marRight w:val="0"/>
      <w:marTop w:val="0"/>
      <w:marBottom w:val="0"/>
      <w:divBdr>
        <w:top w:val="none" w:sz="0" w:space="0" w:color="auto"/>
        <w:left w:val="none" w:sz="0" w:space="0" w:color="auto"/>
        <w:bottom w:val="none" w:sz="0" w:space="0" w:color="auto"/>
        <w:right w:val="none" w:sz="0" w:space="0" w:color="auto"/>
      </w:divBdr>
      <w:divsChild>
        <w:div w:id="1931087562">
          <w:marLeft w:val="446"/>
          <w:marRight w:val="0"/>
          <w:marTop w:val="0"/>
          <w:marBottom w:val="120"/>
          <w:divBdr>
            <w:top w:val="none" w:sz="0" w:space="0" w:color="auto"/>
            <w:left w:val="none" w:sz="0" w:space="0" w:color="auto"/>
            <w:bottom w:val="none" w:sz="0" w:space="0" w:color="auto"/>
            <w:right w:val="none" w:sz="0" w:space="0" w:color="auto"/>
          </w:divBdr>
        </w:div>
      </w:divsChild>
    </w:div>
    <w:div w:id="2089226080">
      <w:bodyDiv w:val="1"/>
      <w:marLeft w:val="0"/>
      <w:marRight w:val="0"/>
      <w:marTop w:val="0"/>
      <w:marBottom w:val="0"/>
      <w:divBdr>
        <w:top w:val="none" w:sz="0" w:space="0" w:color="auto"/>
        <w:left w:val="none" w:sz="0" w:space="0" w:color="auto"/>
        <w:bottom w:val="none" w:sz="0" w:space="0" w:color="auto"/>
        <w:right w:val="none" w:sz="0" w:space="0" w:color="auto"/>
      </w:divBdr>
    </w:div>
    <w:div w:id="2110738480">
      <w:bodyDiv w:val="1"/>
      <w:marLeft w:val="0"/>
      <w:marRight w:val="0"/>
      <w:marTop w:val="0"/>
      <w:marBottom w:val="0"/>
      <w:divBdr>
        <w:top w:val="none" w:sz="0" w:space="0" w:color="auto"/>
        <w:left w:val="none" w:sz="0" w:space="0" w:color="auto"/>
        <w:bottom w:val="none" w:sz="0" w:space="0" w:color="auto"/>
        <w:right w:val="none" w:sz="0" w:space="0" w:color="auto"/>
      </w:divBdr>
    </w:div>
    <w:div w:id="2147356325">
      <w:bodyDiv w:val="1"/>
      <w:marLeft w:val="0"/>
      <w:marRight w:val="0"/>
      <w:marTop w:val="0"/>
      <w:marBottom w:val="0"/>
      <w:divBdr>
        <w:top w:val="none" w:sz="0" w:space="0" w:color="auto"/>
        <w:left w:val="none" w:sz="0" w:space="0" w:color="auto"/>
        <w:bottom w:val="none" w:sz="0" w:space="0" w:color="auto"/>
        <w:right w:val="none" w:sz="0" w:space="0" w:color="auto"/>
      </w:divBdr>
      <w:divsChild>
        <w:div w:id="1362243097">
          <w:marLeft w:val="446"/>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pgestion-my.sharepoint.com/personal/laurencehoury_pierrepremiergestion_com/_layouts/15/Doc.aspx?sourcedoc=%7B00D9B64E-3588-4896-9984-D78118C43455%7D&amp;file=FPS%20PPG_Prospectus%20et%20R%C3%A8glement%20VF17%20-06%202026.docx&amp;action=default&amp;mobileredirect=tru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pgestion-my.sharepoint.com/personal/laurencehoury_pierrepremiergestion_com/_layouts/15/Doc.aspx?sourcedoc=%7B00D9B64E-3588-4896-9984-D78118C43455%7D&amp;file=FPS%20PPG_Prospectus%20et%20R%C3%A8glement%20VF17%20-06%202026.docx&amp;action=default&amp;mobileredirect=tru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pgestion-my.sharepoint.com/personal/laurencehoury_pierrepremiergestion_com/_layouts/15/Doc.aspx?sourcedoc=%7B00D9B64E-3588-4896-9984-D78118C43455%7D&amp;file=FPS%20PPG_Prospectus%20et%20R%C3%A8glement%20VF17%20-06%202026.docx&amp;action=default&amp;mobileredirect=tru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e2f46d8-1349-42f2-8c78-f0d66efb8e94">
      <UserInfo>
        <DisplayName/>
        <AccountId xsi:nil="true"/>
        <AccountType/>
      </UserInfo>
    </SharedWithUsers>
    <TaxCatchAll xmlns="3e2f46d8-1349-42f2-8c78-f0d66efb8e94" xsi:nil="true"/>
    <lcf76f155ced4ddcb4097134ff3c332f xmlns="6105547f-d31f-4fb6-8d5c-dec06004e4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3ED61D61D6A94CA2F869E88E1B7EB1" ma:contentTypeVersion="18" ma:contentTypeDescription="Crée un document." ma:contentTypeScope="" ma:versionID="8ca791ca0311c671d77f32a6ad3efc70">
  <xsd:schema xmlns:xsd="http://www.w3.org/2001/XMLSchema" xmlns:xs="http://www.w3.org/2001/XMLSchema" xmlns:p="http://schemas.microsoft.com/office/2006/metadata/properties" xmlns:ns2="6105547f-d31f-4fb6-8d5c-dec06004e441" xmlns:ns3="3e2f46d8-1349-42f2-8c78-f0d66efb8e94" targetNamespace="http://schemas.microsoft.com/office/2006/metadata/properties" ma:root="true" ma:fieldsID="284701f06f04ee22d745b530f49ecc8a" ns2:_="" ns3:_="">
    <xsd:import namespace="6105547f-d31f-4fb6-8d5c-dec06004e441"/>
    <xsd:import namespace="3e2f46d8-1349-42f2-8c78-f0d66efb8e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5547f-d31f-4fb6-8d5c-dec06004e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2123fd1b-d2f9-42e1-b623-9f0e943f9b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2f46d8-1349-42f2-8c78-f0d66efb8e94"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b70b53e-01e2-4c57-9feb-26a3ac8196af}" ma:internalName="TaxCatchAll" ma:showField="CatchAllData" ma:web="3e2f46d8-1349-42f2-8c78-f0d66efb8e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0CC18-3B53-4EAC-B39F-F1F021AD16D8}">
  <ds:schemaRefs>
    <ds:schemaRef ds:uri="http://schemas.microsoft.com/office/2006/metadata/properties"/>
    <ds:schemaRef ds:uri="http://schemas.microsoft.com/office/infopath/2007/PartnerControls"/>
    <ds:schemaRef ds:uri="3e2f46d8-1349-42f2-8c78-f0d66efb8e94"/>
    <ds:schemaRef ds:uri="6105547f-d31f-4fb6-8d5c-dec06004e441"/>
  </ds:schemaRefs>
</ds:datastoreItem>
</file>

<file path=customXml/itemProps2.xml><?xml version="1.0" encoding="utf-8"?>
<ds:datastoreItem xmlns:ds="http://schemas.openxmlformats.org/officeDocument/2006/customXml" ds:itemID="{4DEC394A-9CEA-43E7-98B2-DF627A1A6D6C}">
  <ds:schemaRefs>
    <ds:schemaRef ds:uri="http://schemas.microsoft.com/sharepoint/v3/contenttype/forms"/>
  </ds:schemaRefs>
</ds:datastoreItem>
</file>

<file path=customXml/itemProps3.xml><?xml version="1.0" encoding="utf-8"?>
<ds:datastoreItem xmlns:ds="http://schemas.openxmlformats.org/officeDocument/2006/customXml" ds:itemID="{8614B004-4410-476D-AC9B-0F8A243D9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05547f-d31f-4fb6-8d5c-dec06004e441"/>
    <ds:schemaRef ds:uri="3e2f46d8-1349-42f2-8c78-f0d66efb8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C89510-B548-45C3-9521-CD52BB2AB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6</Pages>
  <Words>2535</Words>
  <Characters>13944</Characters>
  <Application>Microsoft Office Word</Application>
  <DocSecurity>0</DocSecurity>
  <Lines>116</Lines>
  <Paragraphs>32</Paragraphs>
  <ScaleCrop>false</ScaleCrop>
  <Company/>
  <LinksUpToDate>false</LinksUpToDate>
  <CharactersWithSpaces>16447</CharactersWithSpaces>
  <SharedDoc>false</SharedDoc>
  <HLinks>
    <vt:vector size="18" baseType="variant">
      <vt:variant>
        <vt:i4>917528</vt:i4>
      </vt:variant>
      <vt:variant>
        <vt:i4>6</vt:i4>
      </vt:variant>
      <vt:variant>
        <vt:i4>0</vt:i4>
      </vt:variant>
      <vt:variant>
        <vt:i4>5</vt:i4>
      </vt:variant>
      <vt:variant>
        <vt:lpwstr>https://ppgestion-my.sharepoint.com/personal/laurencehoury_pierrepremiergestion_com/_layouts/15/Doc.aspx?sourcedoc=%7B00D9B64E-3588-4896-9984-D78118C43455%7D&amp;file=FPS%20PPG_Prospectus%20et%20R%C3%A8glement%20VF17%20-06%202026.docx&amp;action=default&amp;mobileredirect=true</vt:lpwstr>
      </vt:variant>
      <vt:variant>
        <vt:lpwstr/>
      </vt:variant>
      <vt:variant>
        <vt:i4>917528</vt:i4>
      </vt:variant>
      <vt:variant>
        <vt:i4>3</vt:i4>
      </vt:variant>
      <vt:variant>
        <vt:i4>0</vt:i4>
      </vt:variant>
      <vt:variant>
        <vt:i4>5</vt:i4>
      </vt:variant>
      <vt:variant>
        <vt:lpwstr>https://ppgestion-my.sharepoint.com/personal/laurencehoury_pierrepremiergestion_com/_layouts/15/Doc.aspx?sourcedoc=%7B00D9B64E-3588-4896-9984-D78118C43455%7D&amp;file=FPS%20PPG_Prospectus%20et%20R%C3%A8glement%20VF17%20-06%202026.docx&amp;action=default&amp;mobileredirect=true</vt:lpwstr>
      </vt:variant>
      <vt:variant>
        <vt:lpwstr/>
      </vt:variant>
      <vt:variant>
        <vt:i4>917528</vt:i4>
      </vt:variant>
      <vt:variant>
        <vt:i4>0</vt:i4>
      </vt:variant>
      <vt:variant>
        <vt:i4>0</vt:i4>
      </vt:variant>
      <vt:variant>
        <vt:i4>5</vt:i4>
      </vt:variant>
      <vt:variant>
        <vt:lpwstr>https://ppgestion-my.sharepoint.com/personal/laurencehoury_pierrepremiergestion_com/_layouts/15/Doc.aspx?sourcedoc=%7B00D9B64E-3588-4896-9984-D78118C43455%7D&amp;file=FPS%20PPG_Prospectus%20et%20R%C3%A8glement%20VF17%20-06%202026.docx&amp;action=default&amp;mobileredirect=true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D’ENTREE EN RELATION</dc:title>
  <dc:creator>FININDEP</dc:creator>
  <cp:lastModifiedBy>Laurence Houry</cp:lastModifiedBy>
  <cp:revision>99</cp:revision>
  <cp:lastPrinted>2026-06-09T12:01:00Z</cp:lastPrinted>
  <dcterms:created xsi:type="dcterms:W3CDTF">2026-06-09T14:39:00Z</dcterms:created>
  <dcterms:modified xsi:type="dcterms:W3CDTF">2026-07-31T07:06:00Z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0x0101006B3ED61D61D6A94CA2F869E88E1B7EB1</vt:lpwstr>
  </property>
  <property fmtid="{D5CDD505-2E9C-101B-9397-08002B2CF9AE}" pid="3" name="Order">
    <vt:r8>33861400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